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D9F16" w14:textId="33F24807" w:rsidR="00284F18" w:rsidRPr="00E31192" w:rsidRDefault="0000528A" w:rsidP="0000528A">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E31192">
        <w:rPr>
          <w:rFonts w:ascii="Arial" w:hAnsi="Arial" w:cs="Arial"/>
          <w:b/>
          <w:color w:val="010000"/>
          <w:sz w:val="20"/>
        </w:rPr>
        <w:t>DTH</w:t>
      </w:r>
      <w:r w:rsidR="003E3F57">
        <w:rPr>
          <w:rFonts w:ascii="Arial" w:hAnsi="Arial" w:cs="Arial"/>
          <w:b/>
          <w:color w:val="010000"/>
          <w:sz w:val="20"/>
        </w:rPr>
        <w:t>:</w:t>
      </w:r>
      <w:r w:rsidRPr="00E31192">
        <w:rPr>
          <w:rFonts w:ascii="Arial" w:hAnsi="Arial" w:cs="Arial"/>
          <w:b/>
          <w:color w:val="010000"/>
          <w:sz w:val="20"/>
        </w:rPr>
        <w:t xml:space="preserve"> Annual General Mandate 2024</w:t>
      </w:r>
    </w:p>
    <w:p w14:paraId="3D1D09D6"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On April 12, 2024, Thanh </w:t>
      </w:r>
      <w:proofErr w:type="spellStart"/>
      <w:r w:rsidRPr="00E31192">
        <w:rPr>
          <w:rFonts w:ascii="Arial" w:hAnsi="Arial" w:cs="Arial"/>
          <w:color w:val="010000"/>
          <w:sz w:val="20"/>
        </w:rPr>
        <w:t>Hoa</w:t>
      </w:r>
      <w:proofErr w:type="spellEnd"/>
      <w:r w:rsidRPr="00E31192">
        <w:rPr>
          <w:rFonts w:ascii="Arial" w:hAnsi="Arial" w:cs="Arial"/>
          <w:color w:val="010000"/>
          <w:sz w:val="20"/>
        </w:rPr>
        <w:t xml:space="preserve"> Pharmaceutical Medical Material Joint Stock Company announced General Mandate No. 01-2024/NQ-DHDCD as follows:</w:t>
      </w:r>
    </w:p>
    <w:p w14:paraId="1E0F3C1F" w14:textId="08376744" w:rsidR="00284F18" w:rsidRPr="00E31192" w:rsidRDefault="0000528A" w:rsidP="000052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 xml:space="preserve">Article 1: Approve the Board of Directors' Report on governance and results of the Board of Directors' activities in 2023, production and business results in 2023, production and business plan in 2024, dividend payment and profit distribution plan in 2024 with the following main </w:t>
      </w:r>
      <w:r w:rsidR="003E3F57">
        <w:rPr>
          <w:rFonts w:ascii="Arial" w:hAnsi="Arial" w:cs="Arial"/>
          <w:color w:val="010000"/>
          <w:sz w:val="20"/>
        </w:rPr>
        <w:t>targets</w:t>
      </w:r>
      <w:r w:rsidRPr="00E31192">
        <w:rPr>
          <w:rFonts w:ascii="Arial" w:hAnsi="Arial" w:cs="Arial"/>
          <w:color w:val="010000"/>
          <w:sz w:val="20"/>
        </w:rPr>
        <w:t xml:space="preserve">: </w:t>
      </w:r>
    </w:p>
    <w:p w14:paraId="498241E2" w14:textId="77777777" w:rsidR="00284F18" w:rsidRPr="00E31192" w:rsidRDefault="0000528A" w:rsidP="0000528A">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1192">
        <w:rPr>
          <w:rFonts w:ascii="Arial" w:hAnsi="Arial" w:cs="Arial"/>
          <w:color w:val="010000"/>
          <w:sz w:val="20"/>
        </w:rPr>
        <w:t>Major production and business targets in 2023:</w:t>
      </w:r>
    </w:p>
    <w:p w14:paraId="25266607"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Unit: Million VND</w:t>
      </w:r>
    </w:p>
    <w:tbl>
      <w:tblPr>
        <w:tblStyle w:val="a"/>
        <w:tblW w:w="5000" w:type="pct"/>
        <w:jc w:val="center"/>
        <w:tblLook w:val="0000" w:firstRow="0" w:lastRow="0" w:firstColumn="0" w:lastColumn="0" w:noHBand="0" w:noVBand="0"/>
      </w:tblPr>
      <w:tblGrid>
        <w:gridCol w:w="824"/>
        <w:gridCol w:w="3531"/>
        <w:gridCol w:w="812"/>
        <w:gridCol w:w="929"/>
        <w:gridCol w:w="999"/>
        <w:gridCol w:w="885"/>
        <w:gridCol w:w="1037"/>
      </w:tblGrid>
      <w:tr w:rsidR="00284F18" w:rsidRPr="00E31192" w14:paraId="3D454726" w14:textId="77777777" w:rsidTr="0000528A">
        <w:trPr>
          <w:jc w:val="center"/>
        </w:trPr>
        <w:tc>
          <w:tcPr>
            <w:tcW w:w="457" w:type="pct"/>
            <w:vMerge w:val="restart"/>
            <w:tcBorders>
              <w:top w:val="single" w:sz="4" w:space="0" w:color="000000"/>
              <w:left w:val="single" w:sz="4" w:space="0" w:color="000000"/>
            </w:tcBorders>
            <w:shd w:val="clear" w:color="auto" w:fill="auto"/>
            <w:vAlign w:val="center"/>
          </w:tcPr>
          <w:p w14:paraId="4D24D5B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No.</w:t>
            </w:r>
          </w:p>
        </w:tc>
        <w:tc>
          <w:tcPr>
            <w:tcW w:w="1958" w:type="pct"/>
            <w:vMerge w:val="restart"/>
            <w:tcBorders>
              <w:top w:val="single" w:sz="4" w:space="0" w:color="000000"/>
              <w:left w:val="single" w:sz="4" w:space="0" w:color="000000"/>
            </w:tcBorders>
            <w:shd w:val="clear" w:color="auto" w:fill="auto"/>
            <w:vAlign w:val="center"/>
          </w:tcPr>
          <w:p w14:paraId="19287A2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Target</w:t>
            </w:r>
          </w:p>
        </w:tc>
        <w:tc>
          <w:tcPr>
            <w:tcW w:w="450" w:type="pct"/>
            <w:vMerge w:val="restart"/>
            <w:tcBorders>
              <w:top w:val="single" w:sz="4" w:space="0" w:color="000000"/>
              <w:left w:val="single" w:sz="4" w:space="0" w:color="000000"/>
            </w:tcBorders>
            <w:shd w:val="clear" w:color="auto" w:fill="auto"/>
            <w:vAlign w:val="center"/>
          </w:tcPr>
          <w:p w14:paraId="40E39A8A"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Results of 2023</w:t>
            </w:r>
          </w:p>
        </w:tc>
        <w:tc>
          <w:tcPr>
            <w:tcW w:w="1069" w:type="pct"/>
            <w:gridSpan w:val="2"/>
            <w:tcBorders>
              <w:top w:val="single" w:sz="4" w:space="0" w:color="000000"/>
              <w:left w:val="single" w:sz="4" w:space="0" w:color="000000"/>
            </w:tcBorders>
            <w:shd w:val="clear" w:color="auto" w:fill="auto"/>
            <w:vAlign w:val="center"/>
          </w:tcPr>
          <w:p w14:paraId="76AC6E94"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Compared to plan of 2023</w:t>
            </w:r>
          </w:p>
        </w:tc>
        <w:tc>
          <w:tcPr>
            <w:tcW w:w="1066" w:type="pct"/>
            <w:gridSpan w:val="2"/>
            <w:tcBorders>
              <w:top w:val="single" w:sz="4" w:space="0" w:color="000000"/>
              <w:left w:val="single" w:sz="4" w:space="0" w:color="000000"/>
              <w:right w:val="single" w:sz="4" w:space="0" w:color="000000"/>
            </w:tcBorders>
            <w:shd w:val="clear" w:color="auto" w:fill="auto"/>
            <w:vAlign w:val="center"/>
          </w:tcPr>
          <w:p w14:paraId="501B2AC9"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Compared to results of 2022</w:t>
            </w:r>
          </w:p>
        </w:tc>
      </w:tr>
      <w:tr w:rsidR="00284F18" w:rsidRPr="00E31192" w14:paraId="163D9FA1" w14:textId="77777777" w:rsidTr="0000528A">
        <w:trPr>
          <w:jc w:val="center"/>
        </w:trPr>
        <w:tc>
          <w:tcPr>
            <w:tcW w:w="457" w:type="pct"/>
            <w:vMerge/>
            <w:tcBorders>
              <w:top w:val="single" w:sz="4" w:space="0" w:color="000000"/>
              <w:left w:val="single" w:sz="4" w:space="0" w:color="000000"/>
            </w:tcBorders>
            <w:shd w:val="clear" w:color="auto" w:fill="auto"/>
            <w:vAlign w:val="center"/>
          </w:tcPr>
          <w:p w14:paraId="25C74663" w14:textId="77777777" w:rsidR="00284F18" w:rsidRPr="00E31192" w:rsidRDefault="00284F18" w:rsidP="0000528A">
            <w:pPr>
              <w:pBdr>
                <w:top w:val="nil"/>
                <w:left w:val="nil"/>
                <w:bottom w:val="nil"/>
                <w:right w:val="nil"/>
                <w:between w:val="nil"/>
              </w:pBdr>
              <w:spacing w:after="120" w:line="360" w:lineRule="auto"/>
              <w:rPr>
                <w:rFonts w:ascii="Arial" w:eastAsia="Arial" w:hAnsi="Arial" w:cs="Arial"/>
                <w:color w:val="010000"/>
                <w:sz w:val="20"/>
                <w:szCs w:val="20"/>
              </w:rPr>
            </w:pPr>
          </w:p>
        </w:tc>
        <w:tc>
          <w:tcPr>
            <w:tcW w:w="1958" w:type="pct"/>
            <w:vMerge/>
            <w:tcBorders>
              <w:top w:val="single" w:sz="4" w:space="0" w:color="000000"/>
              <w:left w:val="single" w:sz="4" w:space="0" w:color="000000"/>
            </w:tcBorders>
            <w:shd w:val="clear" w:color="auto" w:fill="auto"/>
            <w:vAlign w:val="center"/>
          </w:tcPr>
          <w:p w14:paraId="68E405AD" w14:textId="77777777" w:rsidR="00284F18" w:rsidRPr="00E31192" w:rsidRDefault="00284F18" w:rsidP="0000528A">
            <w:pPr>
              <w:pBdr>
                <w:top w:val="nil"/>
                <w:left w:val="nil"/>
                <w:bottom w:val="nil"/>
                <w:right w:val="nil"/>
                <w:between w:val="nil"/>
              </w:pBdr>
              <w:spacing w:after="120" w:line="360" w:lineRule="auto"/>
              <w:rPr>
                <w:rFonts w:ascii="Arial" w:eastAsia="Arial" w:hAnsi="Arial" w:cs="Arial"/>
                <w:color w:val="010000"/>
                <w:sz w:val="20"/>
                <w:szCs w:val="20"/>
              </w:rPr>
            </w:pPr>
          </w:p>
        </w:tc>
        <w:tc>
          <w:tcPr>
            <w:tcW w:w="450" w:type="pct"/>
            <w:vMerge/>
            <w:tcBorders>
              <w:top w:val="single" w:sz="4" w:space="0" w:color="000000"/>
              <w:left w:val="single" w:sz="4" w:space="0" w:color="000000"/>
            </w:tcBorders>
            <w:shd w:val="clear" w:color="auto" w:fill="auto"/>
            <w:vAlign w:val="center"/>
          </w:tcPr>
          <w:p w14:paraId="0EBAA327" w14:textId="77777777" w:rsidR="00284F18" w:rsidRPr="00E31192" w:rsidRDefault="00284F18" w:rsidP="0000528A">
            <w:pPr>
              <w:pBdr>
                <w:top w:val="nil"/>
                <w:left w:val="nil"/>
                <w:bottom w:val="nil"/>
                <w:right w:val="nil"/>
                <w:between w:val="nil"/>
              </w:pBdr>
              <w:spacing w:after="120" w:line="360" w:lineRule="auto"/>
              <w:rPr>
                <w:rFonts w:ascii="Arial" w:eastAsia="Arial" w:hAnsi="Arial" w:cs="Arial"/>
                <w:color w:val="010000"/>
                <w:sz w:val="20"/>
                <w:szCs w:val="20"/>
              </w:rPr>
            </w:pPr>
          </w:p>
        </w:tc>
        <w:tc>
          <w:tcPr>
            <w:tcW w:w="515" w:type="pct"/>
            <w:tcBorders>
              <w:top w:val="single" w:sz="4" w:space="0" w:color="000000"/>
              <w:left w:val="single" w:sz="4" w:space="0" w:color="000000"/>
            </w:tcBorders>
            <w:shd w:val="clear" w:color="auto" w:fill="auto"/>
            <w:vAlign w:val="center"/>
          </w:tcPr>
          <w:p w14:paraId="2911D8D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Plan</w:t>
            </w:r>
          </w:p>
        </w:tc>
        <w:tc>
          <w:tcPr>
            <w:tcW w:w="554" w:type="pct"/>
            <w:tcBorders>
              <w:top w:val="single" w:sz="4" w:space="0" w:color="000000"/>
              <w:left w:val="single" w:sz="4" w:space="0" w:color="000000"/>
            </w:tcBorders>
            <w:shd w:val="clear" w:color="auto" w:fill="auto"/>
            <w:vAlign w:val="center"/>
          </w:tcPr>
          <w:p w14:paraId="2CB7DF56"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Rate</w:t>
            </w:r>
          </w:p>
        </w:tc>
        <w:tc>
          <w:tcPr>
            <w:tcW w:w="491" w:type="pct"/>
            <w:tcBorders>
              <w:top w:val="single" w:sz="4" w:space="0" w:color="000000"/>
              <w:left w:val="single" w:sz="4" w:space="0" w:color="000000"/>
            </w:tcBorders>
            <w:shd w:val="clear" w:color="auto" w:fill="auto"/>
            <w:vAlign w:val="center"/>
          </w:tcPr>
          <w:p w14:paraId="24FFA110"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Results</w:t>
            </w:r>
          </w:p>
        </w:tc>
        <w:tc>
          <w:tcPr>
            <w:tcW w:w="575" w:type="pct"/>
            <w:tcBorders>
              <w:top w:val="single" w:sz="4" w:space="0" w:color="000000"/>
              <w:left w:val="single" w:sz="4" w:space="0" w:color="000000"/>
              <w:right w:val="single" w:sz="4" w:space="0" w:color="000000"/>
            </w:tcBorders>
            <w:shd w:val="clear" w:color="auto" w:fill="auto"/>
            <w:vAlign w:val="center"/>
          </w:tcPr>
          <w:p w14:paraId="7DD2ACD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Rate</w:t>
            </w:r>
          </w:p>
        </w:tc>
      </w:tr>
      <w:tr w:rsidR="00284F18" w:rsidRPr="00E31192" w14:paraId="425ABED5" w14:textId="77777777" w:rsidTr="0000528A">
        <w:trPr>
          <w:jc w:val="center"/>
        </w:trPr>
        <w:tc>
          <w:tcPr>
            <w:tcW w:w="457" w:type="pct"/>
            <w:tcBorders>
              <w:top w:val="single" w:sz="4" w:space="0" w:color="000000"/>
              <w:left w:val="single" w:sz="4" w:space="0" w:color="000000"/>
            </w:tcBorders>
            <w:shd w:val="clear" w:color="auto" w:fill="auto"/>
            <w:vAlign w:val="center"/>
          </w:tcPr>
          <w:p w14:paraId="5521B024"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w:t>
            </w:r>
          </w:p>
        </w:tc>
        <w:tc>
          <w:tcPr>
            <w:tcW w:w="1958" w:type="pct"/>
            <w:tcBorders>
              <w:top w:val="single" w:sz="4" w:space="0" w:color="000000"/>
              <w:left w:val="single" w:sz="4" w:space="0" w:color="000000"/>
            </w:tcBorders>
            <w:shd w:val="clear" w:color="auto" w:fill="auto"/>
            <w:vAlign w:val="center"/>
          </w:tcPr>
          <w:p w14:paraId="086F27F4"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Total revenue</w:t>
            </w:r>
          </w:p>
        </w:tc>
        <w:tc>
          <w:tcPr>
            <w:tcW w:w="450" w:type="pct"/>
            <w:tcBorders>
              <w:top w:val="single" w:sz="4" w:space="0" w:color="000000"/>
              <w:left w:val="single" w:sz="4" w:space="0" w:color="000000"/>
            </w:tcBorders>
            <w:shd w:val="clear" w:color="auto" w:fill="auto"/>
            <w:vAlign w:val="center"/>
          </w:tcPr>
          <w:p w14:paraId="2B5C6B12"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526.0</w:t>
            </w:r>
          </w:p>
        </w:tc>
        <w:tc>
          <w:tcPr>
            <w:tcW w:w="515" w:type="pct"/>
            <w:tcBorders>
              <w:top w:val="single" w:sz="4" w:space="0" w:color="000000"/>
              <w:left w:val="single" w:sz="4" w:space="0" w:color="000000"/>
            </w:tcBorders>
            <w:shd w:val="clear" w:color="auto" w:fill="auto"/>
            <w:vAlign w:val="center"/>
          </w:tcPr>
          <w:p w14:paraId="13846A8F"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560.0</w:t>
            </w:r>
          </w:p>
        </w:tc>
        <w:tc>
          <w:tcPr>
            <w:tcW w:w="554" w:type="pct"/>
            <w:tcBorders>
              <w:top w:val="single" w:sz="4" w:space="0" w:color="000000"/>
              <w:left w:val="single" w:sz="4" w:space="0" w:color="000000"/>
            </w:tcBorders>
            <w:shd w:val="clear" w:color="auto" w:fill="auto"/>
            <w:vAlign w:val="center"/>
          </w:tcPr>
          <w:p w14:paraId="59F89B55"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93.9%</w:t>
            </w:r>
          </w:p>
        </w:tc>
        <w:tc>
          <w:tcPr>
            <w:tcW w:w="491" w:type="pct"/>
            <w:tcBorders>
              <w:top w:val="single" w:sz="4" w:space="0" w:color="000000"/>
              <w:left w:val="single" w:sz="4" w:space="0" w:color="000000"/>
            </w:tcBorders>
            <w:shd w:val="clear" w:color="auto" w:fill="auto"/>
            <w:vAlign w:val="center"/>
          </w:tcPr>
          <w:p w14:paraId="316BEC3D"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581.4</w:t>
            </w:r>
          </w:p>
        </w:tc>
        <w:tc>
          <w:tcPr>
            <w:tcW w:w="575" w:type="pct"/>
            <w:tcBorders>
              <w:top w:val="single" w:sz="4" w:space="0" w:color="000000"/>
              <w:left w:val="single" w:sz="4" w:space="0" w:color="000000"/>
              <w:right w:val="single" w:sz="4" w:space="0" w:color="000000"/>
            </w:tcBorders>
            <w:shd w:val="clear" w:color="auto" w:fill="auto"/>
            <w:vAlign w:val="center"/>
          </w:tcPr>
          <w:p w14:paraId="1452AA4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90.5%</w:t>
            </w:r>
          </w:p>
        </w:tc>
      </w:tr>
      <w:tr w:rsidR="00284F18" w:rsidRPr="00E31192" w14:paraId="53464235" w14:textId="77777777" w:rsidTr="0000528A">
        <w:trPr>
          <w:jc w:val="center"/>
        </w:trPr>
        <w:tc>
          <w:tcPr>
            <w:tcW w:w="457" w:type="pct"/>
            <w:tcBorders>
              <w:top w:val="single" w:sz="4" w:space="0" w:color="000000"/>
              <w:left w:val="single" w:sz="4" w:space="0" w:color="000000"/>
            </w:tcBorders>
            <w:shd w:val="clear" w:color="auto" w:fill="auto"/>
            <w:vAlign w:val="center"/>
          </w:tcPr>
          <w:p w14:paraId="2E57B9D6" w14:textId="77777777" w:rsidR="00284F18" w:rsidRPr="00E31192" w:rsidRDefault="00284F18" w:rsidP="0000528A">
            <w:pPr>
              <w:tabs>
                <w:tab w:val="left" w:pos="432"/>
              </w:tabs>
              <w:spacing w:after="120" w:line="360" w:lineRule="auto"/>
              <w:rPr>
                <w:rFonts w:ascii="Arial" w:eastAsia="Arial" w:hAnsi="Arial" w:cs="Arial"/>
                <w:color w:val="010000"/>
                <w:sz w:val="20"/>
                <w:szCs w:val="20"/>
              </w:rPr>
            </w:pPr>
          </w:p>
        </w:tc>
        <w:tc>
          <w:tcPr>
            <w:tcW w:w="1958" w:type="pct"/>
            <w:tcBorders>
              <w:top w:val="single" w:sz="4" w:space="0" w:color="000000"/>
              <w:left w:val="single" w:sz="4" w:space="0" w:color="000000"/>
            </w:tcBorders>
            <w:shd w:val="clear" w:color="auto" w:fill="auto"/>
            <w:vAlign w:val="center"/>
          </w:tcPr>
          <w:p w14:paraId="76811304"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In which, products produced by the Company</w:t>
            </w:r>
          </w:p>
        </w:tc>
        <w:tc>
          <w:tcPr>
            <w:tcW w:w="450" w:type="pct"/>
            <w:tcBorders>
              <w:top w:val="single" w:sz="4" w:space="0" w:color="000000"/>
              <w:left w:val="single" w:sz="4" w:space="0" w:color="000000"/>
            </w:tcBorders>
            <w:shd w:val="clear" w:color="auto" w:fill="auto"/>
            <w:vAlign w:val="center"/>
          </w:tcPr>
          <w:p w14:paraId="50C37D35"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412.7</w:t>
            </w:r>
          </w:p>
        </w:tc>
        <w:tc>
          <w:tcPr>
            <w:tcW w:w="515" w:type="pct"/>
            <w:tcBorders>
              <w:top w:val="single" w:sz="4" w:space="0" w:color="000000"/>
              <w:left w:val="single" w:sz="4" w:space="0" w:color="000000"/>
            </w:tcBorders>
            <w:shd w:val="clear" w:color="auto" w:fill="auto"/>
            <w:vAlign w:val="center"/>
          </w:tcPr>
          <w:p w14:paraId="76A744B9"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445.0</w:t>
            </w:r>
          </w:p>
        </w:tc>
        <w:tc>
          <w:tcPr>
            <w:tcW w:w="554" w:type="pct"/>
            <w:tcBorders>
              <w:top w:val="single" w:sz="4" w:space="0" w:color="000000"/>
              <w:left w:val="single" w:sz="4" w:space="0" w:color="000000"/>
            </w:tcBorders>
            <w:shd w:val="clear" w:color="auto" w:fill="auto"/>
            <w:vAlign w:val="center"/>
          </w:tcPr>
          <w:p w14:paraId="0A0471AF"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92.7%</w:t>
            </w:r>
          </w:p>
        </w:tc>
        <w:tc>
          <w:tcPr>
            <w:tcW w:w="491" w:type="pct"/>
            <w:tcBorders>
              <w:top w:val="single" w:sz="4" w:space="0" w:color="000000"/>
              <w:left w:val="single" w:sz="4" w:space="0" w:color="000000"/>
            </w:tcBorders>
            <w:shd w:val="clear" w:color="auto" w:fill="auto"/>
            <w:vAlign w:val="center"/>
          </w:tcPr>
          <w:p w14:paraId="6789FF71"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459.8</w:t>
            </w:r>
          </w:p>
        </w:tc>
        <w:tc>
          <w:tcPr>
            <w:tcW w:w="575" w:type="pct"/>
            <w:tcBorders>
              <w:top w:val="single" w:sz="4" w:space="0" w:color="000000"/>
              <w:left w:val="single" w:sz="4" w:space="0" w:color="000000"/>
              <w:right w:val="single" w:sz="4" w:space="0" w:color="000000"/>
            </w:tcBorders>
            <w:shd w:val="clear" w:color="auto" w:fill="auto"/>
            <w:vAlign w:val="center"/>
          </w:tcPr>
          <w:p w14:paraId="34198D16"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89.8%</w:t>
            </w:r>
          </w:p>
        </w:tc>
      </w:tr>
      <w:tr w:rsidR="00284F18" w:rsidRPr="00E31192" w14:paraId="15BE399D" w14:textId="77777777" w:rsidTr="0000528A">
        <w:trPr>
          <w:jc w:val="center"/>
        </w:trPr>
        <w:tc>
          <w:tcPr>
            <w:tcW w:w="457" w:type="pct"/>
            <w:tcBorders>
              <w:top w:val="single" w:sz="4" w:space="0" w:color="000000"/>
              <w:left w:val="single" w:sz="4" w:space="0" w:color="000000"/>
            </w:tcBorders>
            <w:shd w:val="clear" w:color="auto" w:fill="auto"/>
            <w:vAlign w:val="center"/>
          </w:tcPr>
          <w:p w14:paraId="4966D474"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2</w:t>
            </w:r>
          </w:p>
        </w:tc>
        <w:tc>
          <w:tcPr>
            <w:tcW w:w="1958" w:type="pct"/>
            <w:tcBorders>
              <w:top w:val="single" w:sz="4" w:space="0" w:color="000000"/>
              <w:left w:val="single" w:sz="4" w:space="0" w:color="000000"/>
            </w:tcBorders>
            <w:shd w:val="clear" w:color="auto" w:fill="auto"/>
            <w:vAlign w:val="center"/>
          </w:tcPr>
          <w:p w14:paraId="08F140E2"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Profit before tax</w:t>
            </w:r>
          </w:p>
        </w:tc>
        <w:tc>
          <w:tcPr>
            <w:tcW w:w="450" w:type="pct"/>
            <w:tcBorders>
              <w:top w:val="single" w:sz="4" w:space="0" w:color="000000"/>
              <w:left w:val="single" w:sz="4" w:space="0" w:color="000000"/>
            </w:tcBorders>
            <w:shd w:val="clear" w:color="auto" w:fill="auto"/>
            <w:vAlign w:val="center"/>
          </w:tcPr>
          <w:p w14:paraId="2A52D04E"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3.2</w:t>
            </w:r>
          </w:p>
        </w:tc>
        <w:tc>
          <w:tcPr>
            <w:tcW w:w="515" w:type="pct"/>
            <w:tcBorders>
              <w:top w:val="single" w:sz="4" w:space="0" w:color="000000"/>
              <w:left w:val="single" w:sz="4" w:space="0" w:color="000000"/>
            </w:tcBorders>
            <w:shd w:val="clear" w:color="auto" w:fill="auto"/>
            <w:vAlign w:val="center"/>
          </w:tcPr>
          <w:p w14:paraId="460E0EA3"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&gt;=5.6</w:t>
            </w:r>
          </w:p>
        </w:tc>
        <w:tc>
          <w:tcPr>
            <w:tcW w:w="554" w:type="pct"/>
            <w:tcBorders>
              <w:top w:val="single" w:sz="4" w:space="0" w:color="000000"/>
              <w:left w:val="single" w:sz="4" w:space="0" w:color="000000"/>
            </w:tcBorders>
            <w:shd w:val="clear" w:color="auto" w:fill="auto"/>
            <w:vAlign w:val="center"/>
          </w:tcPr>
          <w:p w14:paraId="245455F0"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57.1%</w:t>
            </w:r>
          </w:p>
        </w:tc>
        <w:tc>
          <w:tcPr>
            <w:tcW w:w="491" w:type="pct"/>
            <w:tcBorders>
              <w:top w:val="single" w:sz="4" w:space="0" w:color="000000"/>
              <w:left w:val="single" w:sz="4" w:space="0" w:color="000000"/>
            </w:tcBorders>
            <w:shd w:val="clear" w:color="auto" w:fill="auto"/>
            <w:vAlign w:val="center"/>
          </w:tcPr>
          <w:p w14:paraId="5271A00B"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4.7</w:t>
            </w:r>
          </w:p>
        </w:tc>
        <w:tc>
          <w:tcPr>
            <w:tcW w:w="575" w:type="pct"/>
            <w:tcBorders>
              <w:top w:val="single" w:sz="4" w:space="0" w:color="000000"/>
              <w:left w:val="single" w:sz="4" w:space="0" w:color="000000"/>
              <w:right w:val="single" w:sz="4" w:space="0" w:color="000000"/>
            </w:tcBorders>
            <w:shd w:val="clear" w:color="auto" w:fill="auto"/>
            <w:vAlign w:val="center"/>
          </w:tcPr>
          <w:p w14:paraId="6C15A740"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68.1%</w:t>
            </w:r>
          </w:p>
        </w:tc>
      </w:tr>
      <w:tr w:rsidR="00284F18" w:rsidRPr="00E31192" w14:paraId="59563028" w14:textId="77777777" w:rsidTr="0000528A">
        <w:trPr>
          <w:jc w:val="center"/>
        </w:trPr>
        <w:tc>
          <w:tcPr>
            <w:tcW w:w="457" w:type="pct"/>
            <w:tcBorders>
              <w:top w:val="single" w:sz="4" w:space="0" w:color="000000"/>
              <w:left w:val="single" w:sz="4" w:space="0" w:color="000000"/>
              <w:bottom w:val="single" w:sz="4" w:space="0" w:color="000000"/>
            </w:tcBorders>
            <w:shd w:val="clear" w:color="auto" w:fill="auto"/>
            <w:vAlign w:val="center"/>
          </w:tcPr>
          <w:p w14:paraId="3DB4FD26"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3</w:t>
            </w:r>
          </w:p>
        </w:tc>
        <w:tc>
          <w:tcPr>
            <w:tcW w:w="1958" w:type="pct"/>
            <w:tcBorders>
              <w:top w:val="single" w:sz="4" w:space="0" w:color="000000"/>
              <w:left w:val="single" w:sz="4" w:space="0" w:color="000000"/>
              <w:bottom w:val="single" w:sz="4" w:space="0" w:color="000000"/>
            </w:tcBorders>
            <w:shd w:val="clear" w:color="auto" w:fill="auto"/>
            <w:vAlign w:val="center"/>
          </w:tcPr>
          <w:p w14:paraId="63606EB9"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Profit after tax</w:t>
            </w:r>
          </w:p>
        </w:tc>
        <w:tc>
          <w:tcPr>
            <w:tcW w:w="450" w:type="pct"/>
            <w:tcBorders>
              <w:top w:val="single" w:sz="4" w:space="0" w:color="000000"/>
              <w:left w:val="single" w:sz="4" w:space="0" w:color="000000"/>
              <w:bottom w:val="single" w:sz="4" w:space="0" w:color="000000"/>
            </w:tcBorders>
            <w:shd w:val="clear" w:color="auto" w:fill="auto"/>
            <w:vAlign w:val="center"/>
          </w:tcPr>
          <w:p w14:paraId="058499D5"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2.4</w:t>
            </w:r>
          </w:p>
        </w:tc>
        <w:tc>
          <w:tcPr>
            <w:tcW w:w="515" w:type="pct"/>
            <w:tcBorders>
              <w:top w:val="single" w:sz="4" w:space="0" w:color="000000"/>
              <w:left w:val="single" w:sz="4" w:space="0" w:color="000000"/>
              <w:bottom w:val="single" w:sz="4" w:space="0" w:color="000000"/>
            </w:tcBorders>
            <w:shd w:val="clear" w:color="auto" w:fill="auto"/>
            <w:vAlign w:val="center"/>
          </w:tcPr>
          <w:p w14:paraId="4B0E4610"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w:t>
            </w:r>
          </w:p>
        </w:tc>
        <w:tc>
          <w:tcPr>
            <w:tcW w:w="554" w:type="pct"/>
            <w:tcBorders>
              <w:top w:val="single" w:sz="4" w:space="0" w:color="000000"/>
              <w:left w:val="single" w:sz="4" w:space="0" w:color="000000"/>
              <w:bottom w:val="single" w:sz="4" w:space="0" w:color="000000"/>
            </w:tcBorders>
            <w:shd w:val="clear" w:color="auto" w:fill="auto"/>
            <w:vAlign w:val="center"/>
          </w:tcPr>
          <w:p w14:paraId="7DA2AACD"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w:t>
            </w:r>
          </w:p>
        </w:tc>
        <w:tc>
          <w:tcPr>
            <w:tcW w:w="491" w:type="pct"/>
            <w:tcBorders>
              <w:top w:val="single" w:sz="4" w:space="0" w:color="000000"/>
              <w:left w:val="single" w:sz="4" w:space="0" w:color="000000"/>
              <w:bottom w:val="single" w:sz="4" w:space="0" w:color="000000"/>
            </w:tcBorders>
            <w:shd w:val="clear" w:color="auto" w:fill="auto"/>
            <w:vAlign w:val="center"/>
          </w:tcPr>
          <w:p w14:paraId="647F7641"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3.6</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87827"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66.7%</w:t>
            </w:r>
          </w:p>
        </w:tc>
      </w:tr>
    </w:tbl>
    <w:p w14:paraId="5A824D04" w14:textId="77777777" w:rsidR="00284F18" w:rsidRPr="00E31192" w:rsidRDefault="0000528A" w:rsidP="0000528A">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1192">
        <w:rPr>
          <w:rFonts w:ascii="Arial" w:hAnsi="Arial" w:cs="Arial"/>
          <w:color w:val="010000"/>
          <w:sz w:val="20"/>
        </w:rPr>
        <w:t>Plan for 2024</w:t>
      </w:r>
    </w:p>
    <w:p w14:paraId="53D16E2A" w14:textId="77777777" w:rsidR="00284F18" w:rsidRPr="00E31192" w:rsidRDefault="0000528A" w:rsidP="0000528A">
      <w:pPr>
        <w:numPr>
          <w:ilvl w:val="0"/>
          <w:numId w:val="7"/>
        </w:numPr>
        <w:pBdr>
          <w:top w:val="nil"/>
          <w:left w:val="nil"/>
          <w:bottom w:val="nil"/>
          <w:right w:val="nil"/>
          <w:between w:val="nil"/>
        </w:pBdr>
        <w:tabs>
          <w:tab w:val="left" w:pos="435"/>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Plan for main economic targets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2"/>
        <w:gridCol w:w="3601"/>
        <w:gridCol w:w="1353"/>
        <w:gridCol w:w="3331"/>
      </w:tblGrid>
      <w:tr w:rsidR="00284F18" w:rsidRPr="00E31192" w14:paraId="79BAD319" w14:textId="77777777" w:rsidTr="0000528A">
        <w:trPr>
          <w:tblHeader/>
        </w:trPr>
        <w:tc>
          <w:tcPr>
            <w:tcW w:w="406" w:type="pct"/>
            <w:shd w:val="clear" w:color="auto" w:fill="auto"/>
            <w:vAlign w:val="center"/>
          </w:tcPr>
          <w:p w14:paraId="247C27B0"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No.</w:t>
            </w:r>
          </w:p>
        </w:tc>
        <w:tc>
          <w:tcPr>
            <w:tcW w:w="1997" w:type="pct"/>
            <w:shd w:val="clear" w:color="auto" w:fill="auto"/>
            <w:vAlign w:val="center"/>
          </w:tcPr>
          <w:p w14:paraId="4A0B4A0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Target</w:t>
            </w:r>
          </w:p>
        </w:tc>
        <w:tc>
          <w:tcPr>
            <w:tcW w:w="750" w:type="pct"/>
            <w:shd w:val="clear" w:color="auto" w:fill="auto"/>
            <w:vAlign w:val="center"/>
          </w:tcPr>
          <w:p w14:paraId="2E23C62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Unit</w:t>
            </w:r>
          </w:p>
        </w:tc>
        <w:tc>
          <w:tcPr>
            <w:tcW w:w="1847" w:type="pct"/>
            <w:shd w:val="clear" w:color="auto" w:fill="auto"/>
            <w:vAlign w:val="center"/>
          </w:tcPr>
          <w:p w14:paraId="2D74ED28"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Plan for 2024</w:t>
            </w:r>
          </w:p>
        </w:tc>
      </w:tr>
      <w:tr w:rsidR="00284F18" w:rsidRPr="00E31192" w14:paraId="4B78383B" w14:textId="77777777" w:rsidTr="0000528A">
        <w:tc>
          <w:tcPr>
            <w:tcW w:w="406" w:type="pct"/>
            <w:shd w:val="clear" w:color="auto" w:fill="auto"/>
            <w:vAlign w:val="center"/>
          </w:tcPr>
          <w:p w14:paraId="0F414F6F"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w:t>
            </w:r>
          </w:p>
        </w:tc>
        <w:tc>
          <w:tcPr>
            <w:tcW w:w="1997" w:type="pct"/>
            <w:shd w:val="clear" w:color="auto" w:fill="auto"/>
            <w:vAlign w:val="center"/>
          </w:tcPr>
          <w:p w14:paraId="579117C9"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Total revenue</w:t>
            </w:r>
          </w:p>
        </w:tc>
        <w:tc>
          <w:tcPr>
            <w:tcW w:w="750" w:type="pct"/>
            <w:shd w:val="clear" w:color="auto" w:fill="auto"/>
            <w:vAlign w:val="center"/>
          </w:tcPr>
          <w:p w14:paraId="744A584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Billion VND</w:t>
            </w:r>
          </w:p>
        </w:tc>
        <w:tc>
          <w:tcPr>
            <w:tcW w:w="1847" w:type="pct"/>
            <w:shd w:val="clear" w:color="auto" w:fill="auto"/>
            <w:vAlign w:val="center"/>
          </w:tcPr>
          <w:p w14:paraId="632988F6"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560</w:t>
            </w:r>
          </w:p>
        </w:tc>
      </w:tr>
      <w:tr w:rsidR="00284F18" w:rsidRPr="00E31192" w14:paraId="12F2CF91" w14:textId="77777777" w:rsidTr="0000528A">
        <w:tc>
          <w:tcPr>
            <w:tcW w:w="406" w:type="pct"/>
            <w:shd w:val="clear" w:color="auto" w:fill="auto"/>
            <w:vAlign w:val="center"/>
          </w:tcPr>
          <w:p w14:paraId="5E121ABB"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bCs/>
                <w:color w:val="010000"/>
                <w:sz w:val="20"/>
              </w:rPr>
              <w:t>2</w:t>
            </w:r>
          </w:p>
        </w:tc>
        <w:tc>
          <w:tcPr>
            <w:tcW w:w="1997" w:type="pct"/>
            <w:shd w:val="clear" w:color="auto" w:fill="auto"/>
            <w:vAlign w:val="center"/>
          </w:tcPr>
          <w:p w14:paraId="779855F7"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Revenue from products produced by the company</w:t>
            </w:r>
          </w:p>
        </w:tc>
        <w:tc>
          <w:tcPr>
            <w:tcW w:w="750" w:type="pct"/>
            <w:shd w:val="clear" w:color="auto" w:fill="auto"/>
            <w:vAlign w:val="center"/>
          </w:tcPr>
          <w:p w14:paraId="2A26E35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Billion VND</w:t>
            </w:r>
          </w:p>
        </w:tc>
        <w:tc>
          <w:tcPr>
            <w:tcW w:w="1847" w:type="pct"/>
            <w:shd w:val="clear" w:color="auto" w:fill="auto"/>
            <w:vAlign w:val="center"/>
          </w:tcPr>
          <w:p w14:paraId="30ED195D"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445</w:t>
            </w:r>
          </w:p>
        </w:tc>
      </w:tr>
      <w:tr w:rsidR="00284F18" w:rsidRPr="00E31192" w14:paraId="5C2706EF" w14:textId="77777777" w:rsidTr="0000528A">
        <w:tc>
          <w:tcPr>
            <w:tcW w:w="406" w:type="pct"/>
            <w:shd w:val="clear" w:color="auto" w:fill="auto"/>
            <w:vAlign w:val="center"/>
          </w:tcPr>
          <w:p w14:paraId="0811ABCC"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3</w:t>
            </w:r>
          </w:p>
        </w:tc>
        <w:tc>
          <w:tcPr>
            <w:tcW w:w="1997" w:type="pct"/>
            <w:shd w:val="clear" w:color="auto" w:fill="auto"/>
            <w:vAlign w:val="center"/>
          </w:tcPr>
          <w:p w14:paraId="28F8547A"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Profit before tax</w:t>
            </w:r>
          </w:p>
        </w:tc>
        <w:tc>
          <w:tcPr>
            <w:tcW w:w="750" w:type="pct"/>
            <w:shd w:val="clear" w:color="auto" w:fill="auto"/>
            <w:vAlign w:val="center"/>
          </w:tcPr>
          <w:p w14:paraId="59CD9BF8"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Billion VND</w:t>
            </w:r>
          </w:p>
        </w:tc>
        <w:tc>
          <w:tcPr>
            <w:tcW w:w="1847" w:type="pct"/>
            <w:shd w:val="clear" w:color="auto" w:fill="auto"/>
            <w:vAlign w:val="center"/>
          </w:tcPr>
          <w:p w14:paraId="3FE55628"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&gt;=5.6</w:t>
            </w:r>
          </w:p>
        </w:tc>
      </w:tr>
      <w:tr w:rsidR="00284F18" w:rsidRPr="00E31192" w14:paraId="73419839" w14:textId="77777777" w:rsidTr="0000528A">
        <w:tc>
          <w:tcPr>
            <w:tcW w:w="406" w:type="pct"/>
            <w:shd w:val="clear" w:color="auto" w:fill="auto"/>
            <w:vAlign w:val="center"/>
          </w:tcPr>
          <w:p w14:paraId="6041E6D3"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4</w:t>
            </w:r>
          </w:p>
        </w:tc>
        <w:tc>
          <w:tcPr>
            <w:tcW w:w="1997" w:type="pct"/>
            <w:shd w:val="clear" w:color="auto" w:fill="auto"/>
            <w:vAlign w:val="center"/>
          </w:tcPr>
          <w:p w14:paraId="5B410AFC"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Dividend payment</w:t>
            </w:r>
          </w:p>
        </w:tc>
        <w:tc>
          <w:tcPr>
            <w:tcW w:w="750" w:type="pct"/>
            <w:shd w:val="clear" w:color="auto" w:fill="auto"/>
            <w:vAlign w:val="center"/>
          </w:tcPr>
          <w:p w14:paraId="694F59AF"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w:t>
            </w:r>
          </w:p>
        </w:tc>
        <w:tc>
          <w:tcPr>
            <w:tcW w:w="1847" w:type="pct"/>
            <w:shd w:val="clear" w:color="auto" w:fill="auto"/>
            <w:vAlign w:val="center"/>
          </w:tcPr>
          <w:p w14:paraId="24307D3F"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&gt;=5</w:t>
            </w:r>
          </w:p>
        </w:tc>
      </w:tr>
      <w:tr w:rsidR="00284F18" w:rsidRPr="00E31192" w14:paraId="5A39892B" w14:textId="77777777" w:rsidTr="0000528A">
        <w:tc>
          <w:tcPr>
            <w:tcW w:w="406" w:type="pct"/>
            <w:shd w:val="clear" w:color="auto" w:fill="auto"/>
            <w:vAlign w:val="center"/>
          </w:tcPr>
          <w:p w14:paraId="3679C7B5"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5¬</w:t>
            </w:r>
          </w:p>
        </w:tc>
        <w:tc>
          <w:tcPr>
            <w:tcW w:w="1997" w:type="pct"/>
            <w:shd w:val="clear" w:color="auto" w:fill="auto"/>
            <w:vAlign w:val="center"/>
          </w:tcPr>
          <w:p w14:paraId="78EF2E1C"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Average monthly income</w:t>
            </w:r>
          </w:p>
        </w:tc>
        <w:tc>
          <w:tcPr>
            <w:tcW w:w="2597" w:type="pct"/>
            <w:gridSpan w:val="2"/>
            <w:shd w:val="clear" w:color="auto" w:fill="auto"/>
            <w:vAlign w:val="center"/>
          </w:tcPr>
          <w:p w14:paraId="0AC8F3B1"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Increase by 5% or more compared to 2023</w:t>
            </w:r>
          </w:p>
        </w:tc>
      </w:tr>
    </w:tbl>
    <w:p w14:paraId="6C50157A" w14:textId="77777777" w:rsidR="00284F18" w:rsidRPr="00E31192" w:rsidRDefault="0000528A" w:rsidP="0000528A">
      <w:pPr>
        <w:numPr>
          <w:ilvl w:val="0"/>
          <w:numId w:val="2"/>
        </w:numPr>
        <w:pBdr>
          <w:top w:val="nil"/>
          <w:left w:val="nil"/>
          <w:bottom w:val="nil"/>
          <w:right w:val="nil"/>
          <w:between w:val="nil"/>
        </w:pBdr>
        <w:tabs>
          <w:tab w:val="left" w:pos="432"/>
          <w:tab w:val="left" w:pos="725"/>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Profit distribution plan for 2024</w:t>
      </w:r>
    </w:p>
    <w:p w14:paraId="5754E7E0"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Profit after tax, after paying dividends to shareholders, is 100% deducted from the bonus and welfare fund.</w:t>
      </w:r>
    </w:p>
    <w:p w14:paraId="6F504E45" w14:textId="35D4D19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Article 2: Approve the Audited Financial Statements 2023 </w:t>
      </w:r>
    </w:p>
    <w:p w14:paraId="76D79B5C" w14:textId="6C5E435A"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Article 3: Approve the dividend payment and profit distribution plan in 2023</w:t>
      </w:r>
    </w:p>
    <w:p w14:paraId="487000A6" w14:textId="77777777" w:rsidR="00284F18" w:rsidRPr="00E31192" w:rsidRDefault="0000528A" w:rsidP="0000528A">
      <w:pPr>
        <w:numPr>
          <w:ilvl w:val="0"/>
          <w:numId w:val="9"/>
        </w:numPr>
        <w:pBdr>
          <w:top w:val="nil"/>
          <w:left w:val="nil"/>
          <w:bottom w:val="nil"/>
          <w:right w:val="nil"/>
          <w:between w:val="nil"/>
        </w:pBdr>
        <w:tabs>
          <w:tab w:val="left" w:pos="432"/>
          <w:tab w:val="left" w:pos="725"/>
        </w:tabs>
        <w:spacing w:after="120" w:line="360" w:lineRule="auto"/>
        <w:rPr>
          <w:rFonts w:ascii="Arial" w:eastAsia="Arial" w:hAnsi="Arial" w:cs="Arial"/>
          <w:color w:val="010000"/>
          <w:sz w:val="20"/>
          <w:szCs w:val="20"/>
        </w:rPr>
      </w:pPr>
      <w:r w:rsidRPr="00E31192">
        <w:rPr>
          <w:rFonts w:ascii="Arial" w:hAnsi="Arial" w:cs="Arial"/>
          <w:color w:val="010000"/>
          <w:sz w:val="20"/>
        </w:rPr>
        <w:t>Dividend payment</w:t>
      </w:r>
    </w:p>
    <w:p w14:paraId="0BD5AD42" w14:textId="77777777" w:rsidR="00284F18" w:rsidRPr="00E31192" w:rsidRDefault="0000528A" w:rsidP="0000528A">
      <w:pPr>
        <w:pBdr>
          <w:top w:val="nil"/>
          <w:left w:val="nil"/>
          <w:bottom w:val="nil"/>
          <w:right w:val="nil"/>
          <w:between w:val="nil"/>
        </w:pBdr>
        <w:tabs>
          <w:tab w:val="left" w:pos="432"/>
          <w:tab w:val="left" w:pos="6405"/>
        </w:tabs>
        <w:spacing w:after="120" w:line="360" w:lineRule="auto"/>
        <w:rPr>
          <w:rFonts w:ascii="Arial" w:eastAsia="Arial" w:hAnsi="Arial" w:cs="Arial"/>
          <w:color w:val="010000"/>
          <w:sz w:val="20"/>
          <w:szCs w:val="20"/>
        </w:rPr>
      </w:pPr>
      <w:r w:rsidRPr="00E31192">
        <w:rPr>
          <w:rFonts w:ascii="Arial" w:hAnsi="Arial" w:cs="Arial"/>
          <w:color w:val="010000"/>
          <w:sz w:val="20"/>
        </w:rPr>
        <w:t>The remaining profit after tax in 2023 is: VND 2,407,721,578</w:t>
      </w:r>
    </w:p>
    <w:p w14:paraId="1F64855C" w14:textId="77777777" w:rsidR="00284F18" w:rsidRPr="00E31192" w:rsidRDefault="0000528A" w:rsidP="0000528A">
      <w:pPr>
        <w:pBdr>
          <w:top w:val="nil"/>
          <w:left w:val="nil"/>
          <w:bottom w:val="nil"/>
          <w:right w:val="nil"/>
          <w:between w:val="nil"/>
        </w:pBdr>
        <w:tabs>
          <w:tab w:val="left" w:pos="432"/>
          <w:tab w:val="left" w:pos="6405"/>
        </w:tabs>
        <w:spacing w:after="120" w:line="360" w:lineRule="auto"/>
        <w:rPr>
          <w:rFonts w:ascii="Arial" w:eastAsia="Arial" w:hAnsi="Arial" w:cs="Arial"/>
          <w:color w:val="010000"/>
          <w:sz w:val="20"/>
          <w:szCs w:val="20"/>
        </w:rPr>
      </w:pPr>
      <w:r w:rsidRPr="00E31192">
        <w:rPr>
          <w:rFonts w:ascii="Arial" w:hAnsi="Arial" w:cs="Arial"/>
          <w:color w:val="010000"/>
          <w:sz w:val="20"/>
        </w:rPr>
        <w:lastRenderedPageBreak/>
        <w:t>The dividend payment in 2023 is 3% equivalent to: VND 2,240,166,300</w:t>
      </w:r>
    </w:p>
    <w:p w14:paraId="6E5CDFBA" w14:textId="77777777" w:rsidR="00284F18" w:rsidRPr="00E31192" w:rsidRDefault="0000528A" w:rsidP="0000528A">
      <w:pPr>
        <w:numPr>
          <w:ilvl w:val="0"/>
          <w:numId w:val="9"/>
        </w:numPr>
        <w:pBdr>
          <w:top w:val="nil"/>
          <w:left w:val="nil"/>
          <w:bottom w:val="nil"/>
          <w:right w:val="nil"/>
          <w:between w:val="nil"/>
        </w:pBdr>
        <w:tabs>
          <w:tab w:val="left" w:pos="432"/>
          <w:tab w:val="left" w:pos="740"/>
        </w:tabs>
        <w:spacing w:after="120" w:line="360" w:lineRule="auto"/>
        <w:rPr>
          <w:rFonts w:ascii="Arial" w:eastAsia="Arial" w:hAnsi="Arial" w:cs="Arial"/>
          <w:color w:val="010000"/>
          <w:sz w:val="20"/>
          <w:szCs w:val="20"/>
        </w:rPr>
      </w:pPr>
      <w:r w:rsidRPr="00E31192">
        <w:rPr>
          <w:rFonts w:ascii="Arial" w:hAnsi="Arial" w:cs="Arial"/>
          <w:color w:val="010000"/>
          <w:sz w:val="20"/>
        </w:rPr>
        <w:t>Profit distribution</w:t>
      </w:r>
    </w:p>
    <w:p w14:paraId="7BFFE372" w14:textId="77777777" w:rsidR="00284F18" w:rsidRPr="00E31192" w:rsidRDefault="0000528A" w:rsidP="000052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The remaining profit after tax, after paying dividends to shareholders (in section a) is: VND 167,555,278, according to the approved General Mandate, the remaining profits will be distributed 100% to bonus and welfare funds.</w:t>
      </w:r>
    </w:p>
    <w:p w14:paraId="22C57671" w14:textId="774AC522"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Article 4: Approve the remuneration report for the Board of Directors and the Supervisory Board in 2023 and the remuneration plan for the Board of Directors and the Supervisory Board in 2024 as follows:</w:t>
      </w:r>
    </w:p>
    <w:p w14:paraId="0C5D816E" w14:textId="77777777" w:rsidR="00284F18" w:rsidRPr="00E31192" w:rsidRDefault="0000528A" w:rsidP="0000528A">
      <w:pPr>
        <w:numPr>
          <w:ilvl w:val="0"/>
          <w:numId w:val="1"/>
        </w:numPr>
        <w:pBdr>
          <w:top w:val="nil"/>
          <w:left w:val="nil"/>
          <w:bottom w:val="nil"/>
          <w:right w:val="nil"/>
          <w:between w:val="nil"/>
        </w:pBdr>
        <w:tabs>
          <w:tab w:val="left" w:pos="432"/>
          <w:tab w:val="left" w:pos="725"/>
        </w:tabs>
        <w:spacing w:after="120" w:line="360" w:lineRule="auto"/>
        <w:rPr>
          <w:rFonts w:ascii="Arial" w:eastAsia="Arial" w:hAnsi="Arial" w:cs="Arial"/>
          <w:color w:val="010000"/>
          <w:sz w:val="20"/>
          <w:szCs w:val="20"/>
        </w:rPr>
      </w:pPr>
      <w:r w:rsidRPr="00E31192">
        <w:rPr>
          <w:rFonts w:ascii="Arial" w:hAnsi="Arial" w:cs="Arial"/>
          <w:color w:val="010000"/>
          <w:sz w:val="20"/>
        </w:rPr>
        <w:t>Report on the remuneration settlement for the Board of Directors and the Supervisory Board in 2023</w:t>
      </w:r>
    </w:p>
    <w:p w14:paraId="7A3B0B29"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The remuneration payment for the Board of Directors and the Supervisory Board in 2023 is VND 100 million, of which:</w:t>
      </w:r>
    </w:p>
    <w:p w14:paraId="4628188F" w14:textId="77777777" w:rsidR="00284F18" w:rsidRPr="00E31192" w:rsidRDefault="0000528A" w:rsidP="0000528A">
      <w:pPr>
        <w:numPr>
          <w:ilvl w:val="0"/>
          <w:numId w:val="8"/>
        </w:numPr>
        <w:pBdr>
          <w:top w:val="nil"/>
          <w:left w:val="nil"/>
          <w:bottom w:val="nil"/>
          <w:right w:val="nil"/>
          <w:between w:val="nil"/>
        </w:pBdr>
        <w:tabs>
          <w:tab w:val="left" w:pos="432"/>
          <w:tab w:val="left" w:pos="1063"/>
        </w:tabs>
        <w:spacing w:after="120" w:line="360" w:lineRule="auto"/>
        <w:rPr>
          <w:rFonts w:ascii="Arial" w:eastAsia="Arial" w:hAnsi="Arial" w:cs="Arial"/>
          <w:color w:val="010000"/>
          <w:sz w:val="20"/>
          <w:szCs w:val="20"/>
        </w:rPr>
      </w:pPr>
      <w:r w:rsidRPr="00E31192">
        <w:rPr>
          <w:rFonts w:ascii="Arial" w:hAnsi="Arial" w:cs="Arial"/>
          <w:color w:val="010000"/>
          <w:sz w:val="20"/>
        </w:rPr>
        <w:t>Remuneration payment for the Board of Directors: VND 75 million;</w:t>
      </w:r>
    </w:p>
    <w:p w14:paraId="0B42F8C0" w14:textId="77777777" w:rsidR="00284F18" w:rsidRPr="00E31192" w:rsidRDefault="0000528A" w:rsidP="0000528A">
      <w:pPr>
        <w:numPr>
          <w:ilvl w:val="0"/>
          <w:numId w:val="8"/>
        </w:numPr>
        <w:pBdr>
          <w:top w:val="nil"/>
          <w:left w:val="nil"/>
          <w:bottom w:val="nil"/>
          <w:right w:val="nil"/>
          <w:between w:val="nil"/>
        </w:pBdr>
        <w:tabs>
          <w:tab w:val="left" w:pos="432"/>
          <w:tab w:val="left" w:pos="1063"/>
        </w:tabs>
        <w:spacing w:after="120" w:line="360" w:lineRule="auto"/>
        <w:rPr>
          <w:rFonts w:ascii="Arial" w:eastAsia="Arial" w:hAnsi="Arial" w:cs="Arial"/>
          <w:color w:val="010000"/>
          <w:sz w:val="20"/>
          <w:szCs w:val="20"/>
        </w:rPr>
      </w:pPr>
      <w:r w:rsidRPr="00E31192">
        <w:rPr>
          <w:rFonts w:ascii="Arial" w:hAnsi="Arial" w:cs="Arial"/>
          <w:color w:val="010000"/>
          <w:sz w:val="20"/>
        </w:rPr>
        <w:t>Remuneration payment for the Supervisory Board: VND 25 million;</w:t>
      </w:r>
    </w:p>
    <w:p w14:paraId="234D8637" w14:textId="77777777" w:rsidR="00284F18" w:rsidRPr="00E31192" w:rsidRDefault="0000528A" w:rsidP="0000528A">
      <w:pPr>
        <w:numPr>
          <w:ilvl w:val="0"/>
          <w:numId w:val="1"/>
        </w:numPr>
        <w:pBdr>
          <w:top w:val="nil"/>
          <w:left w:val="nil"/>
          <w:bottom w:val="nil"/>
          <w:right w:val="nil"/>
          <w:between w:val="nil"/>
        </w:pBdr>
        <w:tabs>
          <w:tab w:val="left" w:pos="432"/>
          <w:tab w:val="left" w:pos="740"/>
        </w:tabs>
        <w:spacing w:after="120" w:line="360" w:lineRule="auto"/>
        <w:rPr>
          <w:rFonts w:ascii="Arial" w:eastAsia="Arial" w:hAnsi="Arial" w:cs="Arial"/>
          <w:color w:val="010000"/>
          <w:sz w:val="20"/>
          <w:szCs w:val="20"/>
        </w:rPr>
      </w:pPr>
      <w:r w:rsidRPr="00E31192">
        <w:rPr>
          <w:rFonts w:ascii="Arial" w:hAnsi="Arial" w:cs="Arial"/>
          <w:color w:val="010000"/>
          <w:sz w:val="20"/>
        </w:rPr>
        <w:t>Remuneration payment plan for the Board of Directors and the Supervisory Board in 2024.</w:t>
      </w:r>
    </w:p>
    <w:p w14:paraId="7022A2C0" w14:textId="77777777" w:rsidR="00284F18" w:rsidRPr="00E31192" w:rsidRDefault="0000528A" w:rsidP="0000528A">
      <w:pPr>
        <w:numPr>
          <w:ilvl w:val="0"/>
          <w:numId w:val="3"/>
        </w:numPr>
        <w:pBdr>
          <w:top w:val="nil"/>
          <w:left w:val="nil"/>
          <w:bottom w:val="nil"/>
          <w:right w:val="nil"/>
          <w:between w:val="nil"/>
        </w:pBdr>
        <w:tabs>
          <w:tab w:val="left" w:pos="432"/>
          <w:tab w:val="left" w:pos="903"/>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Remuneration payment for the Board of Directors and the Supervisory Board is VND 100 million/year, of which:</w:t>
      </w:r>
    </w:p>
    <w:p w14:paraId="7BCA977B" w14:textId="7875FDD0" w:rsidR="00284F18" w:rsidRPr="00E31192" w:rsidRDefault="0000528A" w:rsidP="0000528A">
      <w:pPr>
        <w:numPr>
          <w:ilvl w:val="0"/>
          <w:numId w:val="4"/>
        </w:numPr>
        <w:pBdr>
          <w:top w:val="nil"/>
          <w:left w:val="nil"/>
          <w:bottom w:val="nil"/>
          <w:right w:val="nil"/>
          <w:between w:val="nil"/>
        </w:pBdr>
        <w:tabs>
          <w:tab w:val="left" w:pos="432"/>
          <w:tab w:val="left" w:pos="1248"/>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 xml:space="preserve">Remuneration payment for the Board of Directors: VND 75 </w:t>
      </w:r>
      <w:r w:rsidR="00A01013" w:rsidRPr="00E31192">
        <w:rPr>
          <w:rFonts w:ascii="Arial" w:hAnsi="Arial" w:cs="Arial"/>
          <w:color w:val="010000"/>
          <w:sz w:val="20"/>
        </w:rPr>
        <w:t>m</w:t>
      </w:r>
      <w:r w:rsidRPr="00E31192">
        <w:rPr>
          <w:rFonts w:ascii="Arial" w:hAnsi="Arial" w:cs="Arial"/>
          <w:color w:val="010000"/>
          <w:sz w:val="20"/>
        </w:rPr>
        <w:t>illion/year</w:t>
      </w:r>
    </w:p>
    <w:p w14:paraId="26225414" w14:textId="7A862639" w:rsidR="00284F18" w:rsidRPr="00E31192" w:rsidRDefault="0000528A" w:rsidP="0000528A">
      <w:pPr>
        <w:numPr>
          <w:ilvl w:val="0"/>
          <w:numId w:val="4"/>
        </w:numPr>
        <w:pBdr>
          <w:top w:val="nil"/>
          <w:left w:val="nil"/>
          <w:bottom w:val="nil"/>
          <w:right w:val="nil"/>
          <w:between w:val="nil"/>
        </w:pBdr>
        <w:tabs>
          <w:tab w:val="left" w:pos="432"/>
          <w:tab w:val="left" w:pos="1248"/>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 xml:space="preserve">Remuneration payment for the Supervisory Board: VND 25 </w:t>
      </w:r>
      <w:r w:rsidR="00A01013" w:rsidRPr="00E31192">
        <w:rPr>
          <w:rFonts w:ascii="Arial" w:hAnsi="Arial" w:cs="Arial"/>
          <w:color w:val="010000"/>
          <w:sz w:val="20"/>
        </w:rPr>
        <w:t>m</w:t>
      </w:r>
      <w:r w:rsidRPr="00E31192">
        <w:rPr>
          <w:rFonts w:ascii="Arial" w:hAnsi="Arial" w:cs="Arial"/>
          <w:color w:val="010000"/>
          <w:sz w:val="20"/>
        </w:rPr>
        <w:t>illion/year</w:t>
      </w:r>
    </w:p>
    <w:p w14:paraId="0E0049A0" w14:textId="18D72C4E" w:rsidR="00284F18" w:rsidRPr="00E31192" w:rsidRDefault="0000528A" w:rsidP="0000528A">
      <w:pPr>
        <w:numPr>
          <w:ilvl w:val="0"/>
          <w:numId w:val="3"/>
        </w:numPr>
        <w:pBdr>
          <w:top w:val="nil"/>
          <w:left w:val="nil"/>
          <w:bottom w:val="nil"/>
          <w:right w:val="nil"/>
          <w:between w:val="nil"/>
        </w:pBdr>
        <w:tabs>
          <w:tab w:val="left" w:pos="432"/>
          <w:tab w:val="left" w:pos="903"/>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In case</w:t>
      </w:r>
      <w:r w:rsidR="0095575F" w:rsidRPr="00E31192">
        <w:rPr>
          <w:rFonts w:ascii="Arial" w:hAnsi="Arial" w:cs="Arial"/>
          <w:color w:val="010000"/>
          <w:sz w:val="20"/>
        </w:rPr>
        <w:t xml:space="preserve"> that</w:t>
      </w:r>
      <w:r w:rsidRPr="00E31192">
        <w:rPr>
          <w:rFonts w:ascii="Arial" w:hAnsi="Arial" w:cs="Arial"/>
          <w:color w:val="010000"/>
          <w:sz w:val="20"/>
        </w:rPr>
        <w:t xml:space="preserve"> 2% of profit after tax is greater than VND 100 million, the maximum remuneration payment for the Board of Directors and the Supervisory Board is 2% of profit after tax:</w:t>
      </w:r>
    </w:p>
    <w:p w14:paraId="3C15481B" w14:textId="77777777" w:rsidR="00284F18" w:rsidRPr="00E31192" w:rsidRDefault="0000528A" w:rsidP="0000528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Remuneration payment for the Board of Directors: Maximum 1.5% of profit after tax.</w:t>
      </w:r>
    </w:p>
    <w:p w14:paraId="177C0A81" w14:textId="77777777" w:rsidR="00284F18" w:rsidRPr="00E31192" w:rsidRDefault="0000528A" w:rsidP="0000528A">
      <w:pPr>
        <w:numPr>
          <w:ilvl w:val="0"/>
          <w:numId w:val="8"/>
        </w:numPr>
        <w:pBdr>
          <w:top w:val="nil"/>
          <w:left w:val="nil"/>
          <w:bottom w:val="nil"/>
          <w:right w:val="nil"/>
          <w:between w:val="nil"/>
        </w:pBdr>
        <w:tabs>
          <w:tab w:val="left" w:pos="432"/>
          <w:tab w:val="left" w:pos="1248"/>
        </w:tabs>
        <w:spacing w:after="120" w:line="360" w:lineRule="auto"/>
        <w:rPr>
          <w:rFonts w:ascii="Arial" w:eastAsia="Arial" w:hAnsi="Arial" w:cs="Arial"/>
          <w:color w:val="010000"/>
          <w:sz w:val="20"/>
          <w:szCs w:val="20"/>
        </w:rPr>
      </w:pPr>
      <w:r w:rsidRPr="00E31192">
        <w:rPr>
          <w:rFonts w:ascii="Arial" w:hAnsi="Arial" w:cs="Arial"/>
          <w:color w:val="010000"/>
          <w:sz w:val="20"/>
        </w:rPr>
        <w:t>Remuneration payment for the Supervisory Board: Maximum 0.5% of profit after tax.</w:t>
      </w:r>
    </w:p>
    <w:p w14:paraId="0CABB069" w14:textId="436971C0"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Article 5: Approve the transaction of receiving shares exempted from public tender offers </w:t>
      </w:r>
    </w:p>
    <w:p w14:paraId="319B72CE"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Approve the transfer transaction of DTH shares between shareholders of Thanh </w:t>
      </w:r>
      <w:proofErr w:type="spellStart"/>
      <w:r w:rsidRPr="00E31192">
        <w:rPr>
          <w:rFonts w:ascii="Arial" w:hAnsi="Arial" w:cs="Arial"/>
          <w:color w:val="010000"/>
          <w:sz w:val="20"/>
        </w:rPr>
        <w:t>Hoa</w:t>
      </w:r>
      <w:proofErr w:type="spellEnd"/>
      <w:r w:rsidRPr="00E31192">
        <w:rPr>
          <w:rFonts w:ascii="Arial" w:hAnsi="Arial" w:cs="Arial"/>
          <w:color w:val="010000"/>
          <w:sz w:val="20"/>
        </w:rPr>
        <w:t xml:space="preserve"> Pharmaceutical Medical Material Joint Stock Company and Metz USA Vietnam Joint Stock Company without having to make a public offering, specifically as follows:</w:t>
      </w:r>
    </w:p>
    <w:p w14:paraId="33900754" w14:textId="77777777" w:rsidR="00284F18" w:rsidRPr="00E31192" w:rsidRDefault="0000528A" w:rsidP="000052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Transferor:</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3"/>
        <w:gridCol w:w="1943"/>
        <w:gridCol w:w="1418"/>
        <w:gridCol w:w="1073"/>
        <w:gridCol w:w="976"/>
        <w:gridCol w:w="1143"/>
        <w:gridCol w:w="1044"/>
        <w:gridCol w:w="1017"/>
      </w:tblGrid>
      <w:tr w:rsidR="00284F18" w:rsidRPr="00E31192" w14:paraId="6124205C" w14:textId="77777777" w:rsidTr="0000528A">
        <w:trPr>
          <w:jc w:val="center"/>
        </w:trPr>
        <w:tc>
          <w:tcPr>
            <w:tcW w:w="231" w:type="pct"/>
            <w:shd w:val="clear" w:color="auto" w:fill="auto"/>
            <w:vAlign w:val="center"/>
          </w:tcPr>
          <w:p w14:paraId="3775E7B9"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No.</w:t>
            </w:r>
          </w:p>
        </w:tc>
        <w:tc>
          <w:tcPr>
            <w:tcW w:w="1085" w:type="pct"/>
            <w:shd w:val="clear" w:color="auto" w:fill="auto"/>
            <w:vAlign w:val="center"/>
          </w:tcPr>
          <w:p w14:paraId="4147859D"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Full name</w:t>
            </w:r>
          </w:p>
        </w:tc>
        <w:tc>
          <w:tcPr>
            <w:tcW w:w="794" w:type="pct"/>
            <w:shd w:val="clear" w:color="auto" w:fill="auto"/>
            <w:vAlign w:val="center"/>
          </w:tcPr>
          <w:p w14:paraId="6FDDB6F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Citizen Identification Card</w:t>
            </w:r>
          </w:p>
        </w:tc>
        <w:tc>
          <w:tcPr>
            <w:tcW w:w="602" w:type="pct"/>
            <w:shd w:val="clear" w:color="auto" w:fill="auto"/>
            <w:vAlign w:val="center"/>
          </w:tcPr>
          <w:p w14:paraId="27C12741"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Number of shares owned</w:t>
            </w:r>
          </w:p>
        </w:tc>
        <w:tc>
          <w:tcPr>
            <w:tcW w:w="490" w:type="pct"/>
            <w:shd w:val="clear" w:color="auto" w:fill="auto"/>
            <w:vAlign w:val="center"/>
          </w:tcPr>
          <w:p w14:paraId="380BB67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Ownership rate (%)</w:t>
            </w:r>
          </w:p>
        </w:tc>
        <w:tc>
          <w:tcPr>
            <w:tcW w:w="641" w:type="pct"/>
            <w:shd w:val="clear" w:color="auto" w:fill="auto"/>
            <w:vAlign w:val="center"/>
          </w:tcPr>
          <w:p w14:paraId="3463C281"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Expected number of transferred shares:</w:t>
            </w:r>
          </w:p>
        </w:tc>
        <w:tc>
          <w:tcPr>
            <w:tcW w:w="586" w:type="pct"/>
            <w:shd w:val="clear" w:color="auto" w:fill="auto"/>
            <w:vAlign w:val="center"/>
          </w:tcPr>
          <w:p w14:paraId="7229AF71"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Expected number of shares after transfer</w:t>
            </w:r>
          </w:p>
        </w:tc>
        <w:tc>
          <w:tcPr>
            <w:tcW w:w="571" w:type="pct"/>
            <w:shd w:val="clear" w:color="auto" w:fill="auto"/>
            <w:vAlign w:val="center"/>
          </w:tcPr>
          <w:p w14:paraId="443C876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Expected ownership rate after transfer (%)</w:t>
            </w:r>
          </w:p>
        </w:tc>
      </w:tr>
      <w:tr w:rsidR="00284F18" w:rsidRPr="00E31192" w14:paraId="2E283F4A" w14:textId="77777777" w:rsidTr="0000528A">
        <w:trPr>
          <w:jc w:val="center"/>
        </w:trPr>
        <w:tc>
          <w:tcPr>
            <w:tcW w:w="231" w:type="pct"/>
            <w:shd w:val="clear" w:color="auto" w:fill="auto"/>
            <w:vAlign w:val="center"/>
          </w:tcPr>
          <w:p w14:paraId="41FA595D"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lastRenderedPageBreak/>
              <w:t>1</w:t>
            </w:r>
          </w:p>
        </w:tc>
        <w:tc>
          <w:tcPr>
            <w:tcW w:w="1085" w:type="pct"/>
            <w:shd w:val="clear" w:color="auto" w:fill="auto"/>
            <w:vAlign w:val="center"/>
          </w:tcPr>
          <w:p w14:paraId="3C432CDC"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Bui Thi Xuan The</w:t>
            </w:r>
          </w:p>
        </w:tc>
        <w:tc>
          <w:tcPr>
            <w:tcW w:w="794" w:type="pct"/>
            <w:shd w:val="clear" w:color="auto" w:fill="auto"/>
            <w:vAlign w:val="center"/>
          </w:tcPr>
          <w:p w14:paraId="781CD939"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038172036733</w:t>
            </w:r>
          </w:p>
        </w:tc>
        <w:tc>
          <w:tcPr>
            <w:tcW w:w="602" w:type="pct"/>
            <w:shd w:val="clear" w:color="auto" w:fill="auto"/>
            <w:vAlign w:val="center"/>
          </w:tcPr>
          <w:p w14:paraId="05C64FBB"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1,916</w:t>
            </w:r>
          </w:p>
        </w:tc>
        <w:tc>
          <w:tcPr>
            <w:tcW w:w="490" w:type="pct"/>
            <w:shd w:val="clear" w:color="auto" w:fill="auto"/>
            <w:vAlign w:val="center"/>
          </w:tcPr>
          <w:p w14:paraId="23ED5B5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0.03</w:t>
            </w:r>
          </w:p>
        </w:tc>
        <w:tc>
          <w:tcPr>
            <w:tcW w:w="641" w:type="pct"/>
            <w:shd w:val="clear" w:color="auto" w:fill="auto"/>
            <w:vAlign w:val="center"/>
          </w:tcPr>
          <w:p w14:paraId="63D5674D"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1,916</w:t>
            </w:r>
          </w:p>
        </w:tc>
        <w:tc>
          <w:tcPr>
            <w:tcW w:w="586" w:type="pct"/>
            <w:shd w:val="clear" w:color="auto" w:fill="auto"/>
            <w:vAlign w:val="center"/>
          </w:tcPr>
          <w:p w14:paraId="0CE8E13F"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5D15F36B"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0116CB8A" w14:textId="77777777" w:rsidTr="0000528A">
        <w:trPr>
          <w:jc w:val="center"/>
        </w:trPr>
        <w:tc>
          <w:tcPr>
            <w:tcW w:w="231" w:type="pct"/>
            <w:shd w:val="clear" w:color="auto" w:fill="auto"/>
            <w:vAlign w:val="center"/>
          </w:tcPr>
          <w:p w14:paraId="5910D78B"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2.</w:t>
            </w:r>
          </w:p>
        </w:tc>
        <w:tc>
          <w:tcPr>
            <w:tcW w:w="1085" w:type="pct"/>
            <w:shd w:val="clear" w:color="auto" w:fill="auto"/>
            <w:vAlign w:val="center"/>
          </w:tcPr>
          <w:p w14:paraId="7629CB48"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Do Thu Huong</w:t>
            </w:r>
          </w:p>
        </w:tc>
        <w:tc>
          <w:tcPr>
            <w:tcW w:w="794" w:type="pct"/>
            <w:shd w:val="clear" w:color="auto" w:fill="auto"/>
            <w:vAlign w:val="center"/>
          </w:tcPr>
          <w:p w14:paraId="3C68768D"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038179010596</w:t>
            </w:r>
          </w:p>
        </w:tc>
        <w:tc>
          <w:tcPr>
            <w:tcW w:w="602" w:type="pct"/>
            <w:shd w:val="clear" w:color="auto" w:fill="auto"/>
            <w:vAlign w:val="center"/>
          </w:tcPr>
          <w:p w14:paraId="0E98E08F"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372,257</w:t>
            </w:r>
          </w:p>
        </w:tc>
        <w:tc>
          <w:tcPr>
            <w:tcW w:w="490" w:type="pct"/>
            <w:shd w:val="clear" w:color="auto" w:fill="auto"/>
            <w:vAlign w:val="center"/>
          </w:tcPr>
          <w:p w14:paraId="19EB7F8E"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4.98</w:t>
            </w:r>
          </w:p>
        </w:tc>
        <w:tc>
          <w:tcPr>
            <w:tcW w:w="641" w:type="pct"/>
            <w:shd w:val="clear" w:color="auto" w:fill="auto"/>
            <w:vAlign w:val="center"/>
          </w:tcPr>
          <w:p w14:paraId="7A892780"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372,257</w:t>
            </w:r>
          </w:p>
        </w:tc>
        <w:tc>
          <w:tcPr>
            <w:tcW w:w="586" w:type="pct"/>
            <w:shd w:val="clear" w:color="auto" w:fill="auto"/>
            <w:vAlign w:val="center"/>
          </w:tcPr>
          <w:p w14:paraId="7ABD4D30"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4B4715A9"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23686D42" w14:textId="77777777" w:rsidTr="0000528A">
        <w:trPr>
          <w:jc w:val="center"/>
        </w:trPr>
        <w:tc>
          <w:tcPr>
            <w:tcW w:w="231" w:type="pct"/>
            <w:shd w:val="clear" w:color="auto" w:fill="auto"/>
            <w:vAlign w:val="center"/>
          </w:tcPr>
          <w:p w14:paraId="628B2A1F"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3.</w:t>
            </w:r>
          </w:p>
        </w:tc>
        <w:tc>
          <w:tcPr>
            <w:tcW w:w="1085" w:type="pct"/>
            <w:shd w:val="clear" w:color="auto" w:fill="auto"/>
            <w:vAlign w:val="center"/>
          </w:tcPr>
          <w:p w14:paraId="0FDBE1EC"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Doan </w:t>
            </w:r>
            <w:proofErr w:type="spellStart"/>
            <w:r w:rsidRPr="00E31192">
              <w:rPr>
                <w:rFonts w:ascii="Arial" w:hAnsi="Arial" w:cs="Arial"/>
                <w:color w:val="010000"/>
                <w:sz w:val="20"/>
              </w:rPr>
              <w:t>Quang</w:t>
            </w:r>
            <w:proofErr w:type="spellEnd"/>
            <w:r w:rsidRPr="00E31192">
              <w:rPr>
                <w:rFonts w:ascii="Arial" w:hAnsi="Arial" w:cs="Arial"/>
                <w:color w:val="010000"/>
                <w:sz w:val="20"/>
              </w:rPr>
              <w:t xml:space="preserve"> Hung</w:t>
            </w:r>
          </w:p>
        </w:tc>
        <w:tc>
          <w:tcPr>
            <w:tcW w:w="794" w:type="pct"/>
            <w:shd w:val="clear" w:color="auto" w:fill="auto"/>
            <w:vAlign w:val="center"/>
          </w:tcPr>
          <w:p w14:paraId="0176E6F1"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030087023121</w:t>
            </w:r>
          </w:p>
        </w:tc>
        <w:tc>
          <w:tcPr>
            <w:tcW w:w="602" w:type="pct"/>
            <w:shd w:val="clear" w:color="auto" w:fill="auto"/>
            <w:vAlign w:val="center"/>
          </w:tcPr>
          <w:p w14:paraId="4986549C"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2,003,875</w:t>
            </w:r>
          </w:p>
        </w:tc>
        <w:tc>
          <w:tcPr>
            <w:tcW w:w="490" w:type="pct"/>
            <w:shd w:val="clear" w:color="auto" w:fill="auto"/>
            <w:vAlign w:val="center"/>
          </w:tcPr>
          <w:p w14:paraId="4168D331"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26.82</w:t>
            </w:r>
          </w:p>
        </w:tc>
        <w:tc>
          <w:tcPr>
            <w:tcW w:w="641" w:type="pct"/>
            <w:shd w:val="clear" w:color="auto" w:fill="auto"/>
            <w:vAlign w:val="center"/>
          </w:tcPr>
          <w:p w14:paraId="6D7AE108"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2,003,875</w:t>
            </w:r>
          </w:p>
        </w:tc>
        <w:tc>
          <w:tcPr>
            <w:tcW w:w="586" w:type="pct"/>
            <w:shd w:val="clear" w:color="auto" w:fill="auto"/>
            <w:vAlign w:val="center"/>
          </w:tcPr>
          <w:p w14:paraId="1E17CEC5"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12640D8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1D79F33A" w14:textId="77777777" w:rsidTr="0000528A">
        <w:trPr>
          <w:jc w:val="center"/>
        </w:trPr>
        <w:tc>
          <w:tcPr>
            <w:tcW w:w="231" w:type="pct"/>
            <w:shd w:val="clear" w:color="auto" w:fill="auto"/>
            <w:vAlign w:val="center"/>
          </w:tcPr>
          <w:p w14:paraId="783435B2"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4.</w:t>
            </w:r>
          </w:p>
        </w:tc>
        <w:tc>
          <w:tcPr>
            <w:tcW w:w="1085" w:type="pct"/>
            <w:shd w:val="clear" w:color="auto" w:fill="auto"/>
            <w:vAlign w:val="center"/>
          </w:tcPr>
          <w:p w14:paraId="05FCDAC3"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Nguyen Thi Duc</w:t>
            </w:r>
          </w:p>
        </w:tc>
        <w:tc>
          <w:tcPr>
            <w:tcW w:w="794" w:type="pct"/>
            <w:shd w:val="clear" w:color="auto" w:fill="auto"/>
            <w:vAlign w:val="center"/>
          </w:tcPr>
          <w:p w14:paraId="5061304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171698202</w:t>
            </w:r>
          </w:p>
        </w:tc>
        <w:tc>
          <w:tcPr>
            <w:tcW w:w="602" w:type="pct"/>
            <w:shd w:val="clear" w:color="auto" w:fill="auto"/>
            <w:vAlign w:val="center"/>
          </w:tcPr>
          <w:p w14:paraId="3B86BC0F"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1,905</w:t>
            </w:r>
          </w:p>
        </w:tc>
        <w:tc>
          <w:tcPr>
            <w:tcW w:w="490" w:type="pct"/>
            <w:shd w:val="clear" w:color="auto" w:fill="auto"/>
            <w:vAlign w:val="center"/>
          </w:tcPr>
          <w:p w14:paraId="3AE96D3B"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0.03</w:t>
            </w:r>
          </w:p>
        </w:tc>
        <w:tc>
          <w:tcPr>
            <w:tcW w:w="641" w:type="pct"/>
            <w:shd w:val="clear" w:color="auto" w:fill="auto"/>
            <w:vAlign w:val="center"/>
          </w:tcPr>
          <w:p w14:paraId="28104BD9"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1,905</w:t>
            </w:r>
          </w:p>
        </w:tc>
        <w:tc>
          <w:tcPr>
            <w:tcW w:w="586" w:type="pct"/>
            <w:shd w:val="clear" w:color="auto" w:fill="auto"/>
            <w:vAlign w:val="center"/>
          </w:tcPr>
          <w:p w14:paraId="143A8E64"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25753B8A"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44D4D47D" w14:textId="77777777" w:rsidTr="0000528A">
        <w:trPr>
          <w:jc w:val="center"/>
        </w:trPr>
        <w:tc>
          <w:tcPr>
            <w:tcW w:w="231" w:type="pct"/>
            <w:shd w:val="clear" w:color="auto" w:fill="auto"/>
            <w:vAlign w:val="center"/>
          </w:tcPr>
          <w:p w14:paraId="6A74C698"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5.</w:t>
            </w:r>
          </w:p>
        </w:tc>
        <w:tc>
          <w:tcPr>
            <w:tcW w:w="1085" w:type="pct"/>
            <w:shd w:val="clear" w:color="auto" w:fill="auto"/>
            <w:vAlign w:val="center"/>
          </w:tcPr>
          <w:p w14:paraId="1CF39CD9"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Hoang Thi Anh</w:t>
            </w:r>
          </w:p>
        </w:tc>
        <w:tc>
          <w:tcPr>
            <w:tcW w:w="794" w:type="pct"/>
            <w:shd w:val="clear" w:color="auto" w:fill="auto"/>
            <w:vAlign w:val="center"/>
          </w:tcPr>
          <w:p w14:paraId="48D4EC5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038184000803</w:t>
            </w:r>
          </w:p>
        </w:tc>
        <w:tc>
          <w:tcPr>
            <w:tcW w:w="602" w:type="pct"/>
            <w:shd w:val="clear" w:color="auto" w:fill="auto"/>
            <w:vAlign w:val="center"/>
          </w:tcPr>
          <w:p w14:paraId="2B7B0E89"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3,520</w:t>
            </w:r>
          </w:p>
        </w:tc>
        <w:tc>
          <w:tcPr>
            <w:tcW w:w="490" w:type="pct"/>
            <w:shd w:val="clear" w:color="auto" w:fill="auto"/>
            <w:vAlign w:val="center"/>
          </w:tcPr>
          <w:p w14:paraId="2AE9643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0.05</w:t>
            </w:r>
          </w:p>
        </w:tc>
        <w:tc>
          <w:tcPr>
            <w:tcW w:w="641" w:type="pct"/>
            <w:shd w:val="clear" w:color="auto" w:fill="auto"/>
            <w:vAlign w:val="center"/>
          </w:tcPr>
          <w:p w14:paraId="56B5EED7"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3,520</w:t>
            </w:r>
          </w:p>
        </w:tc>
        <w:tc>
          <w:tcPr>
            <w:tcW w:w="586" w:type="pct"/>
            <w:shd w:val="clear" w:color="auto" w:fill="auto"/>
            <w:vAlign w:val="center"/>
          </w:tcPr>
          <w:p w14:paraId="1C9880A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218D4D22"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75D48275" w14:textId="77777777" w:rsidTr="0000528A">
        <w:trPr>
          <w:jc w:val="center"/>
        </w:trPr>
        <w:tc>
          <w:tcPr>
            <w:tcW w:w="231" w:type="pct"/>
            <w:shd w:val="clear" w:color="auto" w:fill="auto"/>
            <w:vAlign w:val="center"/>
          </w:tcPr>
          <w:p w14:paraId="33E88FA9"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6.</w:t>
            </w:r>
          </w:p>
        </w:tc>
        <w:tc>
          <w:tcPr>
            <w:tcW w:w="1085" w:type="pct"/>
            <w:shd w:val="clear" w:color="auto" w:fill="auto"/>
            <w:vAlign w:val="center"/>
          </w:tcPr>
          <w:p w14:paraId="7BDC0E79"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Ms. Le Thi Thang</w:t>
            </w:r>
          </w:p>
        </w:tc>
        <w:tc>
          <w:tcPr>
            <w:tcW w:w="794" w:type="pct"/>
            <w:shd w:val="clear" w:color="auto" w:fill="auto"/>
            <w:vAlign w:val="center"/>
          </w:tcPr>
          <w:p w14:paraId="44242E1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038180000913</w:t>
            </w:r>
          </w:p>
        </w:tc>
        <w:tc>
          <w:tcPr>
            <w:tcW w:w="602" w:type="pct"/>
            <w:shd w:val="clear" w:color="auto" w:fill="auto"/>
            <w:vAlign w:val="center"/>
          </w:tcPr>
          <w:p w14:paraId="3B0A1FF9"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943</w:t>
            </w:r>
          </w:p>
        </w:tc>
        <w:tc>
          <w:tcPr>
            <w:tcW w:w="490" w:type="pct"/>
            <w:shd w:val="clear" w:color="auto" w:fill="auto"/>
            <w:vAlign w:val="center"/>
          </w:tcPr>
          <w:p w14:paraId="0E795C97"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0.01</w:t>
            </w:r>
          </w:p>
        </w:tc>
        <w:tc>
          <w:tcPr>
            <w:tcW w:w="641" w:type="pct"/>
            <w:shd w:val="clear" w:color="auto" w:fill="auto"/>
            <w:vAlign w:val="center"/>
          </w:tcPr>
          <w:p w14:paraId="60E1CB1F"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943</w:t>
            </w:r>
          </w:p>
        </w:tc>
        <w:tc>
          <w:tcPr>
            <w:tcW w:w="586" w:type="pct"/>
            <w:shd w:val="clear" w:color="auto" w:fill="auto"/>
            <w:vAlign w:val="center"/>
          </w:tcPr>
          <w:p w14:paraId="513A3BED"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4219E0D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4400C0B9" w14:textId="77777777" w:rsidTr="0000528A">
        <w:trPr>
          <w:jc w:val="center"/>
        </w:trPr>
        <w:tc>
          <w:tcPr>
            <w:tcW w:w="231" w:type="pct"/>
            <w:shd w:val="clear" w:color="auto" w:fill="auto"/>
            <w:vAlign w:val="center"/>
          </w:tcPr>
          <w:p w14:paraId="749DAC3A"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7.</w:t>
            </w:r>
          </w:p>
        </w:tc>
        <w:tc>
          <w:tcPr>
            <w:tcW w:w="1085" w:type="pct"/>
            <w:shd w:val="clear" w:color="auto" w:fill="auto"/>
            <w:vAlign w:val="center"/>
          </w:tcPr>
          <w:p w14:paraId="5FE5124C"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Le Thi Thuong</w:t>
            </w:r>
          </w:p>
        </w:tc>
        <w:tc>
          <w:tcPr>
            <w:tcW w:w="794" w:type="pct"/>
            <w:shd w:val="clear" w:color="auto" w:fill="auto"/>
            <w:vAlign w:val="center"/>
          </w:tcPr>
          <w:p w14:paraId="71FBD6BB"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038186008738</w:t>
            </w:r>
          </w:p>
        </w:tc>
        <w:tc>
          <w:tcPr>
            <w:tcW w:w="602" w:type="pct"/>
            <w:shd w:val="clear" w:color="auto" w:fill="auto"/>
            <w:vAlign w:val="center"/>
          </w:tcPr>
          <w:p w14:paraId="6569BE11"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907</w:t>
            </w:r>
          </w:p>
        </w:tc>
        <w:tc>
          <w:tcPr>
            <w:tcW w:w="490" w:type="pct"/>
            <w:shd w:val="clear" w:color="auto" w:fill="auto"/>
            <w:vAlign w:val="center"/>
          </w:tcPr>
          <w:p w14:paraId="24AD6F0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0.01</w:t>
            </w:r>
          </w:p>
        </w:tc>
        <w:tc>
          <w:tcPr>
            <w:tcW w:w="641" w:type="pct"/>
            <w:shd w:val="clear" w:color="auto" w:fill="auto"/>
            <w:vAlign w:val="center"/>
          </w:tcPr>
          <w:p w14:paraId="2C88A1F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907</w:t>
            </w:r>
          </w:p>
        </w:tc>
        <w:tc>
          <w:tcPr>
            <w:tcW w:w="586" w:type="pct"/>
            <w:shd w:val="clear" w:color="auto" w:fill="auto"/>
            <w:vAlign w:val="center"/>
          </w:tcPr>
          <w:p w14:paraId="10B9DBA5"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452BFFCA"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37EAC928" w14:textId="77777777" w:rsidTr="0000528A">
        <w:trPr>
          <w:jc w:val="center"/>
        </w:trPr>
        <w:tc>
          <w:tcPr>
            <w:tcW w:w="231" w:type="pct"/>
            <w:shd w:val="clear" w:color="auto" w:fill="auto"/>
            <w:vAlign w:val="center"/>
          </w:tcPr>
          <w:p w14:paraId="6BEE58F7"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8.</w:t>
            </w:r>
          </w:p>
        </w:tc>
        <w:tc>
          <w:tcPr>
            <w:tcW w:w="1085" w:type="pct"/>
            <w:shd w:val="clear" w:color="auto" w:fill="auto"/>
            <w:vAlign w:val="center"/>
          </w:tcPr>
          <w:p w14:paraId="31D7DAD1"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Tran Thi Huyen Trang</w:t>
            </w:r>
          </w:p>
        </w:tc>
        <w:tc>
          <w:tcPr>
            <w:tcW w:w="794" w:type="pct"/>
            <w:shd w:val="clear" w:color="auto" w:fill="auto"/>
            <w:vAlign w:val="center"/>
          </w:tcPr>
          <w:p w14:paraId="40F24AB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001187001834</w:t>
            </w:r>
          </w:p>
        </w:tc>
        <w:tc>
          <w:tcPr>
            <w:tcW w:w="602" w:type="pct"/>
            <w:shd w:val="clear" w:color="auto" w:fill="auto"/>
            <w:vAlign w:val="center"/>
          </w:tcPr>
          <w:p w14:paraId="2A29DABA"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2,128,043</w:t>
            </w:r>
          </w:p>
        </w:tc>
        <w:tc>
          <w:tcPr>
            <w:tcW w:w="490" w:type="pct"/>
            <w:shd w:val="clear" w:color="auto" w:fill="auto"/>
            <w:vAlign w:val="center"/>
          </w:tcPr>
          <w:p w14:paraId="22B8CF8A"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28.48</w:t>
            </w:r>
          </w:p>
        </w:tc>
        <w:tc>
          <w:tcPr>
            <w:tcW w:w="641" w:type="pct"/>
            <w:shd w:val="clear" w:color="auto" w:fill="auto"/>
            <w:vAlign w:val="center"/>
          </w:tcPr>
          <w:p w14:paraId="26FE9CED"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2,128,043</w:t>
            </w:r>
          </w:p>
        </w:tc>
        <w:tc>
          <w:tcPr>
            <w:tcW w:w="586" w:type="pct"/>
            <w:shd w:val="clear" w:color="auto" w:fill="auto"/>
            <w:vAlign w:val="center"/>
          </w:tcPr>
          <w:p w14:paraId="10D707F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245A5139"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14A4FCA9" w14:textId="77777777" w:rsidTr="0000528A">
        <w:trPr>
          <w:jc w:val="center"/>
        </w:trPr>
        <w:tc>
          <w:tcPr>
            <w:tcW w:w="231" w:type="pct"/>
            <w:shd w:val="clear" w:color="auto" w:fill="auto"/>
            <w:vAlign w:val="center"/>
          </w:tcPr>
          <w:p w14:paraId="4533C804"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bCs/>
                <w:color w:val="010000"/>
                <w:sz w:val="20"/>
              </w:rPr>
              <w:t xml:space="preserve">9. </w:t>
            </w:r>
          </w:p>
        </w:tc>
        <w:tc>
          <w:tcPr>
            <w:tcW w:w="1085" w:type="pct"/>
            <w:shd w:val="clear" w:color="auto" w:fill="auto"/>
            <w:vAlign w:val="center"/>
          </w:tcPr>
          <w:p w14:paraId="6E8D1C0A"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Le Xuan Thuy</w:t>
            </w:r>
          </w:p>
        </w:tc>
        <w:tc>
          <w:tcPr>
            <w:tcW w:w="794" w:type="pct"/>
            <w:shd w:val="clear" w:color="auto" w:fill="auto"/>
            <w:vAlign w:val="center"/>
          </w:tcPr>
          <w:p w14:paraId="36799CA0"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038079025018</w:t>
            </w:r>
          </w:p>
        </w:tc>
        <w:tc>
          <w:tcPr>
            <w:tcW w:w="602" w:type="pct"/>
            <w:shd w:val="clear" w:color="auto" w:fill="auto"/>
            <w:vAlign w:val="center"/>
          </w:tcPr>
          <w:p w14:paraId="727A7CAA"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45,585</w:t>
            </w:r>
          </w:p>
        </w:tc>
        <w:tc>
          <w:tcPr>
            <w:tcW w:w="490" w:type="pct"/>
            <w:shd w:val="clear" w:color="auto" w:fill="auto"/>
            <w:vAlign w:val="center"/>
          </w:tcPr>
          <w:p w14:paraId="600D7E17"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0.61</w:t>
            </w:r>
          </w:p>
        </w:tc>
        <w:tc>
          <w:tcPr>
            <w:tcW w:w="641" w:type="pct"/>
            <w:shd w:val="clear" w:color="auto" w:fill="auto"/>
            <w:vAlign w:val="center"/>
          </w:tcPr>
          <w:p w14:paraId="00AB2DC6"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45,585</w:t>
            </w:r>
          </w:p>
        </w:tc>
        <w:tc>
          <w:tcPr>
            <w:tcW w:w="586" w:type="pct"/>
            <w:shd w:val="clear" w:color="auto" w:fill="auto"/>
            <w:vAlign w:val="center"/>
          </w:tcPr>
          <w:p w14:paraId="4207AA3F"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3B1AF7E6"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2F7B7587" w14:textId="77777777" w:rsidTr="0000528A">
        <w:trPr>
          <w:jc w:val="center"/>
        </w:trPr>
        <w:tc>
          <w:tcPr>
            <w:tcW w:w="231" w:type="pct"/>
            <w:shd w:val="clear" w:color="auto" w:fill="auto"/>
            <w:vAlign w:val="center"/>
          </w:tcPr>
          <w:p w14:paraId="187DAB86"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10.</w:t>
            </w:r>
          </w:p>
        </w:tc>
        <w:tc>
          <w:tcPr>
            <w:tcW w:w="1085" w:type="pct"/>
            <w:shd w:val="clear" w:color="auto" w:fill="auto"/>
            <w:vAlign w:val="center"/>
          </w:tcPr>
          <w:p w14:paraId="2829FC23"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Mai </w:t>
            </w:r>
            <w:proofErr w:type="spellStart"/>
            <w:r w:rsidRPr="00E31192">
              <w:rPr>
                <w:rFonts w:ascii="Arial" w:hAnsi="Arial" w:cs="Arial"/>
                <w:color w:val="010000"/>
                <w:sz w:val="20"/>
              </w:rPr>
              <w:t>Quang</w:t>
            </w:r>
            <w:proofErr w:type="spellEnd"/>
            <w:r w:rsidRPr="00E31192">
              <w:rPr>
                <w:rFonts w:ascii="Arial" w:hAnsi="Arial" w:cs="Arial"/>
                <w:color w:val="010000"/>
                <w:sz w:val="20"/>
              </w:rPr>
              <w:t xml:space="preserve"> </w:t>
            </w:r>
            <w:proofErr w:type="spellStart"/>
            <w:r w:rsidRPr="00E31192">
              <w:rPr>
                <w:rFonts w:ascii="Arial" w:hAnsi="Arial" w:cs="Arial"/>
                <w:color w:val="010000"/>
                <w:sz w:val="20"/>
              </w:rPr>
              <w:t>Vinh</w:t>
            </w:r>
            <w:proofErr w:type="spellEnd"/>
          </w:p>
        </w:tc>
        <w:tc>
          <w:tcPr>
            <w:tcW w:w="794" w:type="pct"/>
            <w:shd w:val="clear" w:color="auto" w:fill="auto"/>
            <w:vAlign w:val="center"/>
          </w:tcPr>
          <w:p w14:paraId="6DBA96FD"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038071010411</w:t>
            </w:r>
          </w:p>
        </w:tc>
        <w:tc>
          <w:tcPr>
            <w:tcW w:w="602" w:type="pct"/>
            <w:shd w:val="clear" w:color="auto" w:fill="auto"/>
            <w:vAlign w:val="center"/>
          </w:tcPr>
          <w:p w14:paraId="2A3F64AB"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4,372</w:t>
            </w:r>
          </w:p>
        </w:tc>
        <w:tc>
          <w:tcPr>
            <w:tcW w:w="490" w:type="pct"/>
            <w:shd w:val="clear" w:color="auto" w:fill="auto"/>
            <w:vAlign w:val="center"/>
          </w:tcPr>
          <w:p w14:paraId="5D05B83B"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0.06</w:t>
            </w:r>
          </w:p>
        </w:tc>
        <w:tc>
          <w:tcPr>
            <w:tcW w:w="641" w:type="pct"/>
            <w:shd w:val="clear" w:color="auto" w:fill="auto"/>
            <w:vAlign w:val="center"/>
          </w:tcPr>
          <w:p w14:paraId="3F798D8B"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4,372</w:t>
            </w:r>
          </w:p>
        </w:tc>
        <w:tc>
          <w:tcPr>
            <w:tcW w:w="586" w:type="pct"/>
            <w:shd w:val="clear" w:color="auto" w:fill="auto"/>
            <w:vAlign w:val="center"/>
          </w:tcPr>
          <w:p w14:paraId="3537ECBB"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3D81969A"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146223A0" w14:textId="77777777" w:rsidTr="0000528A">
        <w:trPr>
          <w:jc w:val="center"/>
        </w:trPr>
        <w:tc>
          <w:tcPr>
            <w:tcW w:w="231" w:type="pct"/>
            <w:shd w:val="clear" w:color="auto" w:fill="auto"/>
            <w:vAlign w:val="center"/>
          </w:tcPr>
          <w:p w14:paraId="2E587EE1"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11.</w:t>
            </w:r>
          </w:p>
        </w:tc>
        <w:tc>
          <w:tcPr>
            <w:tcW w:w="1085" w:type="pct"/>
            <w:shd w:val="clear" w:color="auto" w:fill="auto"/>
            <w:vAlign w:val="center"/>
          </w:tcPr>
          <w:p w14:paraId="1408587B"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Nguyen Thi </w:t>
            </w:r>
            <w:proofErr w:type="spellStart"/>
            <w:r w:rsidRPr="00E31192">
              <w:rPr>
                <w:rFonts w:ascii="Arial" w:hAnsi="Arial" w:cs="Arial"/>
                <w:color w:val="010000"/>
                <w:sz w:val="20"/>
              </w:rPr>
              <w:t>Binh</w:t>
            </w:r>
            <w:proofErr w:type="spellEnd"/>
            <w:r w:rsidRPr="00E31192">
              <w:rPr>
                <w:rFonts w:ascii="Arial" w:hAnsi="Arial" w:cs="Arial"/>
                <w:color w:val="010000"/>
                <w:sz w:val="20"/>
              </w:rPr>
              <w:t xml:space="preserve"> Minh</w:t>
            </w:r>
          </w:p>
        </w:tc>
        <w:tc>
          <w:tcPr>
            <w:tcW w:w="794" w:type="pct"/>
            <w:shd w:val="clear" w:color="auto" w:fill="auto"/>
            <w:vAlign w:val="center"/>
          </w:tcPr>
          <w:p w14:paraId="1F3718E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038186017759</w:t>
            </w:r>
          </w:p>
        </w:tc>
        <w:tc>
          <w:tcPr>
            <w:tcW w:w="602" w:type="pct"/>
            <w:shd w:val="clear" w:color="auto" w:fill="auto"/>
            <w:vAlign w:val="center"/>
          </w:tcPr>
          <w:p w14:paraId="1FC28AC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1,100</w:t>
            </w:r>
          </w:p>
        </w:tc>
        <w:tc>
          <w:tcPr>
            <w:tcW w:w="490" w:type="pct"/>
            <w:shd w:val="clear" w:color="auto" w:fill="auto"/>
            <w:vAlign w:val="center"/>
          </w:tcPr>
          <w:p w14:paraId="055253EE"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0.01</w:t>
            </w:r>
          </w:p>
        </w:tc>
        <w:tc>
          <w:tcPr>
            <w:tcW w:w="641" w:type="pct"/>
            <w:shd w:val="clear" w:color="auto" w:fill="auto"/>
            <w:vAlign w:val="center"/>
          </w:tcPr>
          <w:p w14:paraId="426A72F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1,100</w:t>
            </w:r>
          </w:p>
        </w:tc>
        <w:tc>
          <w:tcPr>
            <w:tcW w:w="586" w:type="pct"/>
            <w:shd w:val="clear" w:color="auto" w:fill="auto"/>
            <w:vAlign w:val="center"/>
          </w:tcPr>
          <w:p w14:paraId="08C8DBE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1CA8D78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109A6F86" w14:textId="77777777" w:rsidTr="0000528A">
        <w:trPr>
          <w:jc w:val="center"/>
        </w:trPr>
        <w:tc>
          <w:tcPr>
            <w:tcW w:w="231" w:type="pct"/>
            <w:shd w:val="clear" w:color="auto" w:fill="auto"/>
            <w:vAlign w:val="center"/>
          </w:tcPr>
          <w:p w14:paraId="13FD7E14"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12.</w:t>
            </w:r>
          </w:p>
        </w:tc>
        <w:tc>
          <w:tcPr>
            <w:tcW w:w="1085" w:type="pct"/>
            <w:shd w:val="clear" w:color="auto" w:fill="auto"/>
            <w:vAlign w:val="center"/>
          </w:tcPr>
          <w:p w14:paraId="7EDA8DA5"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Nguyen Thi Thanh Huong</w:t>
            </w:r>
          </w:p>
        </w:tc>
        <w:tc>
          <w:tcPr>
            <w:tcW w:w="794" w:type="pct"/>
            <w:shd w:val="clear" w:color="auto" w:fill="auto"/>
            <w:vAlign w:val="center"/>
          </w:tcPr>
          <w:p w14:paraId="2178DE9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038184019173</w:t>
            </w:r>
          </w:p>
        </w:tc>
        <w:tc>
          <w:tcPr>
            <w:tcW w:w="602" w:type="pct"/>
            <w:shd w:val="clear" w:color="auto" w:fill="auto"/>
            <w:vAlign w:val="center"/>
          </w:tcPr>
          <w:p w14:paraId="350107A0"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1,100</w:t>
            </w:r>
          </w:p>
        </w:tc>
        <w:tc>
          <w:tcPr>
            <w:tcW w:w="490" w:type="pct"/>
            <w:shd w:val="clear" w:color="auto" w:fill="auto"/>
            <w:vAlign w:val="center"/>
          </w:tcPr>
          <w:p w14:paraId="038E4FC2"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0.01</w:t>
            </w:r>
          </w:p>
        </w:tc>
        <w:tc>
          <w:tcPr>
            <w:tcW w:w="641" w:type="pct"/>
            <w:shd w:val="clear" w:color="auto" w:fill="auto"/>
            <w:vAlign w:val="center"/>
          </w:tcPr>
          <w:p w14:paraId="059675A9"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1,100</w:t>
            </w:r>
          </w:p>
        </w:tc>
        <w:tc>
          <w:tcPr>
            <w:tcW w:w="586" w:type="pct"/>
            <w:shd w:val="clear" w:color="auto" w:fill="auto"/>
            <w:vAlign w:val="center"/>
          </w:tcPr>
          <w:p w14:paraId="782C8000"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5E37754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438B45BE" w14:textId="77777777" w:rsidTr="0000528A">
        <w:trPr>
          <w:jc w:val="center"/>
        </w:trPr>
        <w:tc>
          <w:tcPr>
            <w:tcW w:w="231" w:type="pct"/>
            <w:shd w:val="clear" w:color="auto" w:fill="auto"/>
            <w:vAlign w:val="center"/>
          </w:tcPr>
          <w:p w14:paraId="0FB5158A"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13.</w:t>
            </w:r>
          </w:p>
        </w:tc>
        <w:tc>
          <w:tcPr>
            <w:tcW w:w="1085" w:type="pct"/>
            <w:shd w:val="clear" w:color="auto" w:fill="auto"/>
            <w:vAlign w:val="center"/>
          </w:tcPr>
          <w:p w14:paraId="310808E7"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Nguyen Van Hai</w:t>
            </w:r>
          </w:p>
        </w:tc>
        <w:tc>
          <w:tcPr>
            <w:tcW w:w="794" w:type="pct"/>
            <w:shd w:val="clear" w:color="auto" w:fill="auto"/>
            <w:vAlign w:val="center"/>
          </w:tcPr>
          <w:p w14:paraId="1C4A617C"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172685421</w:t>
            </w:r>
          </w:p>
        </w:tc>
        <w:tc>
          <w:tcPr>
            <w:tcW w:w="602" w:type="pct"/>
            <w:shd w:val="clear" w:color="auto" w:fill="auto"/>
            <w:vAlign w:val="center"/>
          </w:tcPr>
          <w:p w14:paraId="6C8A842C"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8,883</w:t>
            </w:r>
          </w:p>
        </w:tc>
        <w:tc>
          <w:tcPr>
            <w:tcW w:w="490" w:type="pct"/>
            <w:shd w:val="clear" w:color="auto" w:fill="auto"/>
            <w:vAlign w:val="center"/>
          </w:tcPr>
          <w:p w14:paraId="18FD79AF"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0.12</w:t>
            </w:r>
          </w:p>
        </w:tc>
        <w:tc>
          <w:tcPr>
            <w:tcW w:w="641" w:type="pct"/>
            <w:shd w:val="clear" w:color="auto" w:fill="auto"/>
            <w:vAlign w:val="center"/>
          </w:tcPr>
          <w:p w14:paraId="4F31DF0D"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8,883</w:t>
            </w:r>
          </w:p>
        </w:tc>
        <w:tc>
          <w:tcPr>
            <w:tcW w:w="586" w:type="pct"/>
            <w:shd w:val="clear" w:color="auto" w:fill="auto"/>
            <w:vAlign w:val="center"/>
          </w:tcPr>
          <w:p w14:paraId="4746E391"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05951675"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3105DCD7" w14:textId="77777777" w:rsidTr="0000528A">
        <w:trPr>
          <w:jc w:val="center"/>
        </w:trPr>
        <w:tc>
          <w:tcPr>
            <w:tcW w:w="231" w:type="pct"/>
            <w:shd w:val="clear" w:color="auto" w:fill="auto"/>
            <w:vAlign w:val="center"/>
          </w:tcPr>
          <w:p w14:paraId="50FF6F8D"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14.</w:t>
            </w:r>
          </w:p>
        </w:tc>
        <w:tc>
          <w:tcPr>
            <w:tcW w:w="1085" w:type="pct"/>
            <w:shd w:val="clear" w:color="auto" w:fill="auto"/>
            <w:vAlign w:val="center"/>
          </w:tcPr>
          <w:p w14:paraId="726752C8"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Tran Thanh Minh</w:t>
            </w:r>
          </w:p>
        </w:tc>
        <w:tc>
          <w:tcPr>
            <w:tcW w:w="794" w:type="pct"/>
            <w:shd w:val="clear" w:color="auto" w:fill="auto"/>
            <w:vAlign w:val="center"/>
          </w:tcPr>
          <w:p w14:paraId="00DFA55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030084012034</w:t>
            </w:r>
          </w:p>
        </w:tc>
        <w:tc>
          <w:tcPr>
            <w:tcW w:w="602" w:type="pct"/>
            <w:shd w:val="clear" w:color="auto" w:fill="auto"/>
            <w:vAlign w:val="center"/>
          </w:tcPr>
          <w:p w14:paraId="1ED6B6A0"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1,711,428</w:t>
            </w:r>
          </w:p>
        </w:tc>
        <w:tc>
          <w:tcPr>
            <w:tcW w:w="490" w:type="pct"/>
            <w:shd w:val="clear" w:color="auto" w:fill="auto"/>
            <w:vAlign w:val="center"/>
          </w:tcPr>
          <w:p w14:paraId="2E28DE8F"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22.91</w:t>
            </w:r>
          </w:p>
        </w:tc>
        <w:tc>
          <w:tcPr>
            <w:tcW w:w="641" w:type="pct"/>
            <w:shd w:val="clear" w:color="auto" w:fill="auto"/>
            <w:vAlign w:val="center"/>
          </w:tcPr>
          <w:p w14:paraId="70EEEF66"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1,711,428</w:t>
            </w:r>
          </w:p>
        </w:tc>
        <w:tc>
          <w:tcPr>
            <w:tcW w:w="586" w:type="pct"/>
            <w:shd w:val="clear" w:color="auto" w:fill="auto"/>
            <w:vAlign w:val="center"/>
          </w:tcPr>
          <w:p w14:paraId="1962FD4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059B472A"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19BE22B4" w14:textId="77777777" w:rsidTr="0000528A">
        <w:trPr>
          <w:jc w:val="center"/>
        </w:trPr>
        <w:tc>
          <w:tcPr>
            <w:tcW w:w="231" w:type="pct"/>
            <w:shd w:val="clear" w:color="auto" w:fill="auto"/>
            <w:vAlign w:val="center"/>
          </w:tcPr>
          <w:p w14:paraId="48F601FE"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15.</w:t>
            </w:r>
          </w:p>
        </w:tc>
        <w:tc>
          <w:tcPr>
            <w:tcW w:w="1085" w:type="pct"/>
            <w:shd w:val="clear" w:color="auto" w:fill="auto"/>
            <w:vAlign w:val="center"/>
          </w:tcPr>
          <w:p w14:paraId="20B7379B"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Tran Thi </w:t>
            </w:r>
            <w:proofErr w:type="spellStart"/>
            <w:r w:rsidRPr="00E31192">
              <w:rPr>
                <w:rFonts w:ascii="Arial" w:hAnsi="Arial" w:cs="Arial"/>
                <w:color w:val="010000"/>
                <w:sz w:val="20"/>
              </w:rPr>
              <w:t>Tuyet</w:t>
            </w:r>
            <w:proofErr w:type="spellEnd"/>
            <w:r w:rsidRPr="00E31192">
              <w:rPr>
                <w:rFonts w:ascii="Arial" w:hAnsi="Arial" w:cs="Arial"/>
                <w:color w:val="010000"/>
                <w:sz w:val="20"/>
              </w:rPr>
              <w:t xml:space="preserve"> Lan</w:t>
            </w:r>
          </w:p>
        </w:tc>
        <w:tc>
          <w:tcPr>
            <w:tcW w:w="794" w:type="pct"/>
            <w:shd w:val="clear" w:color="auto" w:fill="auto"/>
            <w:vAlign w:val="center"/>
          </w:tcPr>
          <w:p w14:paraId="2FDCEFFB"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038182026971</w:t>
            </w:r>
          </w:p>
        </w:tc>
        <w:tc>
          <w:tcPr>
            <w:tcW w:w="602" w:type="pct"/>
            <w:shd w:val="clear" w:color="auto" w:fill="auto"/>
            <w:vAlign w:val="center"/>
          </w:tcPr>
          <w:p w14:paraId="49EF2C47"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907</w:t>
            </w:r>
          </w:p>
        </w:tc>
        <w:tc>
          <w:tcPr>
            <w:tcW w:w="490" w:type="pct"/>
            <w:shd w:val="clear" w:color="auto" w:fill="auto"/>
            <w:vAlign w:val="center"/>
          </w:tcPr>
          <w:p w14:paraId="77826D31"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0.01</w:t>
            </w:r>
          </w:p>
        </w:tc>
        <w:tc>
          <w:tcPr>
            <w:tcW w:w="641" w:type="pct"/>
            <w:shd w:val="clear" w:color="auto" w:fill="auto"/>
            <w:vAlign w:val="center"/>
          </w:tcPr>
          <w:p w14:paraId="61A3E2FD"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907</w:t>
            </w:r>
          </w:p>
        </w:tc>
        <w:tc>
          <w:tcPr>
            <w:tcW w:w="586" w:type="pct"/>
            <w:shd w:val="clear" w:color="auto" w:fill="auto"/>
            <w:vAlign w:val="center"/>
          </w:tcPr>
          <w:p w14:paraId="6747FD38"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4FCA2A1B"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r w:rsidR="00284F18" w:rsidRPr="00E31192" w14:paraId="43FDB79A" w14:textId="77777777" w:rsidTr="0000528A">
        <w:trPr>
          <w:jc w:val="center"/>
        </w:trPr>
        <w:tc>
          <w:tcPr>
            <w:tcW w:w="231" w:type="pct"/>
            <w:shd w:val="clear" w:color="auto" w:fill="auto"/>
            <w:vAlign w:val="center"/>
          </w:tcPr>
          <w:p w14:paraId="2E462583"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16.</w:t>
            </w:r>
          </w:p>
        </w:tc>
        <w:tc>
          <w:tcPr>
            <w:tcW w:w="1085" w:type="pct"/>
            <w:shd w:val="clear" w:color="auto" w:fill="auto"/>
            <w:vAlign w:val="center"/>
          </w:tcPr>
          <w:p w14:paraId="5419EF6D"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Vu Thi Thanh Huong</w:t>
            </w:r>
          </w:p>
        </w:tc>
        <w:tc>
          <w:tcPr>
            <w:tcW w:w="794" w:type="pct"/>
            <w:shd w:val="clear" w:color="auto" w:fill="auto"/>
            <w:vAlign w:val="center"/>
          </w:tcPr>
          <w:p w14:paraId="02030477"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038185012264</w:t>
            </w:r>
          </w:p>
        </w:tc>
        <w:tc>
          <w:tcPr>
            <w:tcW w:w="602" w:type="pct"/>
            <w:shd w:val="clear" w:color="auto" w:fill="auto"/>
            <w:vAlign w:val="center"/>
          </w:tcPr>
          <w:p w14:paraId="48CEF0DE"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1,100</w:t>
            </w:r>
          </w:p>
        </w:tc>
        <w:tc>
          <w:tcPr>
            <w:tcW w:w="490" w:type="pct"/>
            <w:shd w:val="clear" w:color="auto" w:fill="auto"/>
            <w:vAlign w:val="center"/>
          </w:tcPr>
          <w:p w14:paraId="45FB51DD"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0.01</w:t>
            </w:r>
          </w:p>
        </w:tc>
        <w:tc>
          <w:tcPr>
            <w:tcW w:w="641" w:type="pct"/>
            <w:shd w:val="clear" w:color="auto" w:fill="auto"/>
            <w:vAlign w:val="center"/>
          </w:tcPr>
          <w:p w14:paraId="55805444" w14:textId="77777777" w:rsidR="00284F18" w:rsidRPr="00E31192" w:rsidRDefault="0000528A" w:rsidP="0000528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31192">
              <w:rPr>
                <w:rFonts w:ascii="Arial" w:hAnsi="Arial" w:cs="Arial"/>
                <w:color w:val="010000"/>
                <w:sz w:val="20"/>
              </w:rPr>
              <w:t>1,100</w:t>
            </w:r>
          </w:p>
        </w:tc>
        <w:tc>
          <w:tcPr>
            <w:tcW w:w="586" w:type="pct"/>
            <w:shd w:val="clear" w:color="auto" w:fill="auto"/>
            <w:vAlign w:val="center"/>
          </w:tcPr>
          <w:p w14:paraId="372D8B65"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c>
          <w:tcPr>
            <w:tcW w:w="571" w:type="pct"/>
            <w:shd w:val="clear" w:color="auto" w:fill="auto"/>
            <w:vAlign w:val="center"/>
          </w:tcPr>
          <w:p w14:paraId="69498199"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w:t>
            </w:r>
          </w:p>
        </w:tc>
      </w:tr>
    </w:tbl>
    <w:p w14:paraId="777973CC" w14:textId="77777777" w:rsidR="00284F18" w:rsidRPr="00E31192" w:rsidRDefault="0000528A" w:rsidP="0000528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31192">
        <w:rPr>
          <w:rFonts w:ascii="Arial" w:hAnsi="Arial" w:cs="Arial"/>
          <w:color w:val="010000"/>
          <w:sz w:val="20"/>
        </w:rPr>
        <w:t>Transferee:</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3"/>
        <w:gridCol w:w="1356"/>
        <w:gridCol w:w="1205"/>
        <w:gridCol w:w="1062"/>
        <w:gridCol w:w="1353"/>
        <w:gridCol w:w="1347"/>
        <w:gridCol w:w="1481"/>
      </w:tblGrid>
      <w:tr w:rsidR="00284F18" w:rsidRPr="00E31192" w14:paraId="3F1FD724" w14:textId="77777777" w:rsidTr="0000528A">
        <w:trPr>
          <w:jc w:val="center"/>
        </w:trPr>
        <w:tc>
          <w:tcPr>
            <w:tcW w:w="673" w:type="pct"/>
            <w:shd w:val="clear" w:color="auto" w:fill="auto"/>
            <w:vAlign w:val="center"/>
          </w:tcPr>
          <w:p w14:paraId="095C45AF"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Full name</w:t>
            </w:r>
          </w:p>
        </w:tc>
        <w:tc>
          <w:tcPr>
            <w:tcW w:w="752" w:type="pct"/>
            <w:shd w:val="clear" w:color="auto" w:fill="auto"/>
            <w:vAlign w:val="center"/>
          </w:tcPr>
          <w:p w14:paraId="33EA05B2"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Business Registration No.</w:t>
            </w:r>
          </w:p>
        </w:tc>
        <w:tc>
          <w:tcPr>
            <w:tcW w:w="668" w:type="pct"/>
            <w:shd w:val="clear" w:color="auto" w:fill="auto"/>
            <w:vAlign w:val="center"/>
          </w:tcPr>
          <w:p w14:paraId="33E93D34"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Number of shares owned</w:t>
            </w:r>
          </w:p>
        </w:tc>
        <w:tc>
          <w:tcPr>
            <w:tcW w:w="589" w:type="pct"/>
            <w:shd w:val="clear" w:color="auto" w:fill="auto"/>
            <w:vAlign w:val="center"/>
          </w:tcPr>
          <w:p w14:paraId="15DDCEE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Ownership rate (%)</w:t>
            </w:r>
          </w:p>
        </w:tc>
        <w:tc>
          <w:tcPr>
            <w:tcW w:w="750" w:type="pct"/>
            <w:shd w:val="clear" w:color="auto" w:fill="auto"/>
            <w:vAlign w:val="center"/>
          </w:tcPr>
          <w:p w14:paraId="79584E88"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Expected number of shares receiving transfer</w:t>
            </w:r>
          </w:p>
        </w:tc>
        <w:tc>
          <w:tcPr>
            <w:tcW w:w="747" w:type="pct"/>
            <w:shd w:val="clear" w:color="auto" w:fill="auto"/>
            <w:vAlign w:val="center"/>
          </w:tcPr>
          <w:p w14:paraId="4BC9C1F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Expected number of shares after receiving transfer</w:t>
            </w:r>
          </w:p>
        </w:tc>
        <w:tc>
          <w:tcPr>
            <w:tcW w:w="821" w:type="pct"/>
            <w:shd w:val="clear" w:color="auto" w:fill="auto"/>
            <w:vAlign w:val="center"/>
          </w:tcPr>
          <w:p w14:paraId="16225B9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Expected ownership rate after transfer (%)</w:t>
            </w:r>
          </w:p>
        </w:tc>
      </w:tr>
      <w:tr w:rsidR="00284F18" w:rsidRPr="00E31192" w14:paraId="59E7BF8E" w14:textId="77777777" w:rsidTr="0000528A">
        <w:trPr>
          <w:jc w:val="center"/>
        </w:trPr>
        <w:tc>
          <w:tcPr>
            <w:tcW w:w="673" w:type="pct"/>
            <w:shd w:val="clear" w:color="auto" w:fill="auto"/>
            <w:vAlign w:val="center"/>
          </w:tcPr>
          <w:p w14:paraId="2063622F" w14:textId="07ACCE99" w:rsidR="00284F18" w:rsidRPr="00E31192" w:rsidRDefault="0000528A" w:rsidP="00927E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 xml:space="preserve">Metz </w:t>
            </w:r>
            <w:proofErr w:type="spellStart"/>
            <w:r w:rsidRPr="00E31192">
              <w:rPr>
                <w:rFonts w:ascii="Arial" w:hAnsi="Arial" w:cs="Arial"/>
                <w:color w:val="010000"/>
                <w:sz w:val="20"/>
              </w:rPr>
              <w:t>Usa</w:t>
            </w:r>
            <w:proofErr w:type="spellEnd"/>
            <w:r w:rsidRPr="00E31192">
              <w:rPr>
                <w:rFonts w:ascii="Arial" w:hAnsi="Arial" w:cs="Arial"/>
                <w:color w:val="010000"/>
                <w:sz w:val="20"/>
              </w:rPr>
              <w:t xml:space="preserve"> Vietnam Joint Stock Company</w:t>
            </w:r>
          </w:p>
        </w:tc>
        <w:tc>
          <w:tcPr>
            <w:tcW w:w="752" w:type="pct"/>
            <w:shd w:val="clear" w:color="auto" w:fill="auto"/>
            <w:vAlign w:val="center"/>
          </w:tcPr>
          <w:p w14:paraId="1FBA68E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2803080327</w:t>
            </w:r>
          </w:p>
        </w:tc>
        <w:tc>
          <w:tcPr>
            <w:tcW w:w="668" w:type="pct"/>
            <w:shd w:val="clear" w:color="auto" w:fill="auto"/>
            <w:vAlign w:val="center"/>
          </w:tcPr>
          <w:p w14:paraId="4D568EB3"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100</w:t>
            </w:r>
          </w:p>
        </w:tc>
        <w:tc>
          <w:tcPr>
            <w:tcW w:w="589" w:type="pct"/>
            <w:shd w:val="clear" w:color="auto" w:fill="auto"/>
            <w:vAlign w:val="center"/>
          </w:tcPr>
          <w:p w14:paraId="0CAD58C0"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0.001</w:t>
            </w:r>
          </w:p>
        </w:tc>
        <w:tc>
          <w:tcPr>
            <w:tcW w:w="750" w:type="pct"/>
            <w:shd w:val="clear" w:color="auto" w:fill="auto"/>
            <w:vAlign w:val="center"/>
          </w:tcPr>
          <w:p w14:paraId="71326A8E"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6,287,841</w:t>
            </w:r>
          </w:p>
        </w:tc>
        <w:tc>
          <w:tcPr>
            <w:tcW w:w="747" w:type="pct"/>
            <w:shd w:val="clear" w:color="auto" w:fill="auto"/>
            <w:vAlign w:val="center"/>
          </w:tcPr>
          <w:p w14:paraId="362EBB41"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6,287,941</w:t>
            </w:r>
          </w:p>
        </w:tc>
        <w:tc>
          <w:tcPr>
            <w:tcW w:w="821" w:type="pct"/>
            <w:shd w:val="clear" w:color="auto" w:fill="auto"/>
            <w:vAlign w:val="center"/>
          </w:tcPr>
          <w:p w14:paraId="39D27538" w14:textId="77777777" w:rsidR="00284F18" w:rsidRPr="00E31192" w:rsidRDefault="0000528A" w:rsidP="000052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31192">
              <w:rPr>
                <w:rFonts w:ascii="Arial" w:hAnsi="Arial" w:cs="Arial"/>
                <w:color w:val="010000"/>
                <w:sz w:val="20"/>
              </w:rPr>
              <w:t>84.2</w:t>
            </w:r>
          </w:p>
        </w:tc>
      </w:tr>
    </w:tbl>
    <w:p w14:paraId="2AAC9F1A" w14:textId="3C696AAC" w:rsidR="00284F18" w:rsidRPr="00E31192" w:rsidRDefault="0000528A" w:rsidP="0000528A">
      <w:pPr>
        <w:pBdr>
          <w:top w:val="nil"/>
          <w:left w:val="nil"/>
          <w:bottom w:val="nil"/>
          <w:right w:val="nil"/>
          <w:between w:val="nil"/>
        </w:pBdr>
        <w:tabs>
          <w:tab w:val="left" w:pos="432"/>
          <w:tab w:val="left" w:pos="5620"/>
          <w:tab w:val="left" w:pos="6520"/>
          <w:tab w:val="left" w:pos="7940"/>
          <w:tab w:val="left" w:pos="9475"/>
          <w:tab w:val="left" w:pos="9740"/>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The number of shares transferred above is the expected number, the actual number of transfers and the time of transfer depends on the results of negotiations and agreements between the parties and the market situation at the time of </w:t>
      </w:r>
      <w:proofErr w:type="gramStart"/>
      <w:r w:rsidRPr="00E31192">
        <w:rPr>
          <w:rFonts w:ascii="Arial" w:hAnsi="Arial" w:cs="Arial"/>
          <w:color w:val="010000"/>
          <w:sz w:val="20"/>
        </w:rPr>
        <w:t>transfer..</w:t>
      </w:r>
      <w:proofErr w:type="gramEnd"/>
    </w:p>
    <w:p w14:paraId="3B606D3B" w14:textId="77777777" w:rsidR="00284F18" w:rsidRPr="00E31192" w:rsidRDefault="0000528A" w:rsidP="0000528A">
      <w:pPr>
        <w:numPr>
          <w:ilvl w:val="0"/>
          <w:numId w:val="1"/>
        </w:numPr>
        <w:pBdr>
          <w:top w:val="nil"/>
          <w:left w:val="nil"/>
          <w:bottom w:val="nil"/>
          <w:right w:val="nil"/>
          <w:between w:val="nil"/>
        </w:pBdr>
        <w:tabs>
          <w:tab w:val="left" w:pos="357"/>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Implementation contents:</w:t>
      </w:r>
    </w:p>
    <w:p w14:paraId="7D4B4087" w14:textId="77777777" w:rsidR="00284F18" w:rsidRPr="00E31192" w:rsidRDefault="0000528A" w:rsidP="000052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lastRenderedPageBreak/>
        <w:t xml:space="preserve">The organizations and individuals mentioned in Section 2 of this Proposal are entitled to receive the transfer of voting shares of Thanh </w:t>
      </w:r>
      <w:proofErr w:type="spellStart"/>
      <w:r w:rsidRPr="00E31192">
        <w:rPr>
          <w:rFonts w:ascii="Arial" w:hAnsi="Arial" w:cs="Arial"/>
          <w:color w:val="010000"/>
          <w:sz w:val="20"/>
        </w:rPr>
        <w:t>Hoa</w:t>
      </w:r>
      <w:proofErr w:type="spellEnd"/>
      <w:r w:rsidRPr="00E31192">
        <w:rPr>
          <w:rFonts w:ascii="Arial" w:hAnsi="Arial" w:cs="Arial"/>
          <w:color w:val="010000"/>
          <w:sz w:val="20"/>
        </w:rPr>
        <w:t xml:space="preserve"> Pharmaceutical Medical Material Joint Stock Company (Securities code: DTH) without having to carry out public tender offer procedures in the following cases:</w:t>
      </w:r>
    </w:p>
    <w:p w14:paraId="4AF781EA" w14:textId="77777777" w:rsidR="00284F18" w:rsidRPr="00E31192" w:rsidRDefault="0000528A" w:rsidP="0000528A">
      <w:pPr>
        <w:numPr>
          <w:ilvl w:val="0"/>
          <w:numId w:val="8"/>
        </w:numPr>
        <w:pBdr>
          <w:top w:val="nil"/>
          <w:left w:val="nil"/>
          <w:bottom w:val="nil"/>
          <w:right w:val="nil"/>
          <w:between w:val="nil"/>
        </w:pBdr>
        <w:tabs>
          <w:tab w:val="left" w:pos="357"/>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 xml:space="preserve">Organizations and individuals mentioned in Section 2 purchase voting shares leading to direct or indirect ownership of 25% or more of the voting shares of Thanh </w:t>
      </w:r>
      <w:proofErr w:type="spellStart"/>
      <w:r w:rsidRPr="00E31192">
        <w:rPr>
          <w:rFonts w:ascii="Arial" w:hAnsi="Arial" w:cs="Arial"/>
          <w:color w:val="010000"/>
          <w:sz w:val="20"/>
        </w:rPr>
        <w:t>Hoa</w:t>
      </w:r>
      <w:proofErr w:type="spellEnd"/>
      <w:r w:rsidRPr="00E31192">
        <w:rPr>
          <w:rFonts w:ascii="Arial" w:hAnsi="Arial" w:cs="Arial"/>
          <w:color w:val="010000"/>
          <w:sz w:val="20"/>
        </w:rPr>
        <w:t xml:space="preserve"> Pharmaceutical Medical Material Joint Stock Company;</w:t>
      </w:r>
    </w:p>
    <w:p w14:paraId="143FC60D" w14:textId="0AAB6A0E" w:rsidR="00284F18" w:rsidRPr="00E31192" w:rsidRDefault="0000528A" w:rsidP="0000528A">
      <w:pPr>
        <w:numPr>
          <w:ilvl w:val="0"/>
          <w:numId w:val="8"/>
        </w:numPr>
        <w:pBdr>
          <w:top w:val="nil"/>
          <w:left w:val="nil"/>
          <w:bottom w:val="nil"/>
          <w:right w:val="nil"/>
          <w:between w:val="nil"/>
        </w:pBdr>
        <w:tabs>
          <w:tab w:val="left" w:pos="357"/>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 xml:space="preserve">Organizations and individuals mentioned in Section 2, after holding 25% or more of the voting shares of Thanh </w:t>
      </w:r>
      <w:proofErr w:type="spellStart"/>
      <w:r w:rsidRPr="00E31192">
        <w:rPr>
          <w:rFonts w:ascii="Arial" w:hAnsi="Arial" w:cs="Arial"/>
          <w:color w:val="010000"/>
          <w:sz w:val="20"/>
        </w:rPr>
        <w:t>Hoa</w:t>
      </w:r>
      <w:proofErr w:type="spellEnd"/>
      <w:r w:rsidRPr="00E31192">
        <w:rPr>
          <w:rFonts w:ascii="Arial" w:hAnsi="Arial" w:cs="Arial"/>
          <w:color w:val="010000"/>
          <w:sz w:val="20"/>
        </w:rPr>
        <w:t xml:space="preserve"> Pharmaceutical Medical Material Joint Stock Company, continue to purchase, resulting in direct or indirect ownership reaching or exceeding 35%, 45%, 55%, 65%, 75% of the voting shares of Thanh </w:t>
      </w:r>
      <w:proofErr w:type="spellStart"/>
      <w:r w:rsidRPr="00E31192">
        <w:rPr>
          <w:rFonts w:ascii="Arial" w:hAnsi="Arial" w:cs="Arial"/>
          <w:color w:val="010000"/>
          <w:sz w:val="20"/>
        </w:rPr>
        <w:t>Hoa</w:t>
      </w:r>
      <w:proofErr w:type="spellEnd"/>
      <w:r w:rsidRPr="00E31192">
        <w:rPr>
          <w:rFonts w:ascii="Arial" w:hAnsi="Arial" w:cs="Arial"/>
          <w:color w:val="010000"/>
          <w:sz w:val="20"/>
        </w:rPr>
        <w:t xml:space="preserve"> Pharmaceutical Medical Material Joint Stock Company.</w:t>
      </w:r>
    </w:p>
    <w:p w14:paraId="6D9DA49B" w14:textId="77777777" w:rsidR="00284F18" w:rsidRPr="00E31192" w:rsidRDefault="0000528A" w:rsidP="0000528A">
      <w:pPr>
        <w:numPr>
          <w:ilvl w:val="0"/>
          <w:numId w:val="1"/>
        </w:numPr>
        <w:pBdr>
          <w:top w:val="nil"/>
          <w:left w:val="nil"/>
          <w:bottom w:val="nil"/>
          <w:right w:val="nil"/>
          <w:between w:val="nil"/>
        </w:pBdr>
        <w:tabs>
          <w:tab w:val="left" w:pos="365"/>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Transaction method: Receive transfer through agreement or order matching on the exchange.</w:t>
      </w:r>
    </w:p>
    <w:p w14:paraId="53C0BDE0" w14:textId="77777777" w:rsidR="00284F18" w:rsidRPr="00E31192" w:rsidRDefault="0000528A" w:rsidP="0000528A">
      <w:pPr>
        <w:numPr>
          <w:ilvl w:val="0"/>
          <w:numId w:val="1"/>
        </w:numPr>
        <w:pBdr>
          <w:top w:val="nil"/>
          <w:left w:val="nil"/>
          <w:bottom w:val="nil"/>
          <w:right w:val="nil"/>
          <w:between w:val="nil"/>
        </w:pBdr>
        <w:tabs>
          <w:tab w:val="left" w:pos="365"/>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The General Meeting of Shareholders authorizes the Board of Directors to decide all issues related to this transfer to ensure the implementation of the contents approved by the General Meeting of Shareholders.</w:t>
      </w:r>
    </w:p>
    <w:p w14:paraId="2441260D"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Article 6: Approve the Supervisory Board's Report on company operations in 2023.</w:t>
      </w:r>
    </w:p>
    <w:p w14:paraId="725D74DF" w14:textId="77777777" w:rsidR="00284F18" w:rsidRPr="00E31192" w:rsidRDefault="0000528A" w:rsidP="000052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1192">
        <w:rPr>
          <w:rFonts w:ascii="Arial" w:hAnsi="Arial" w:cs="Arial"/>
          <w:color w:val="010000"/>
          <w:sz w:val="20"/>
        </w:rPr>
        <w:t>Article 7: Approve the list of audit companies for the Financial Statements 2024 as follows:</w:t>
      </w:r>
    </w:p>
    <w:p w14:paraId="0659790A" w14:textId="0B7E84EC" w:rsidR="00284F18" w:rsidRPr="00E31192" w:rsidRDefault="00927ED1" w:rsidP="0000528A">
      <w:pPr>
        <w:numPr>
          <w:ilvl w:val="0"/>
          <w:numId w:val="8"/>
        </w:numPr>
        <w:pBdr>
          <w:top w:val="nil"/>
          <w:left w:val="nil"/>
          <w:bottom w:val="nil"/>
          <w:right w:val="nil"/>
          <w:between w:val="nil"/>
        </w:pBdr>
        <w:tabs>
          <w:tab w:val="left" w:pos="357"/>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 xml:space="preserve"> </w:t>
      </w:r>
      <w:bookmarkStart w:id="0" w:name="_GoBack"/>
      <w:bookmarkEnd w:id="0"/>
      <w:r w:rsidR="0000528A" w:rsidRPr="00E31192">
        <w:rPr>
          <w:rFonts w:ascii="Arial" w:hAnsi="Arial" w:cs="Arial"/>
          <w:color w:val="010000"/>
          <w:sz w:val="20"/>
        </w:rPr>
        <w:t>Deloitte Vietnam Audit Company Limited;</w:t>
      </w:r>
    </w:p>
    <w:p w14:paraId="31852902" w14:textId="77777777" w:rsidR="00284F18" w:rsidRPr="00E31192" w:rsidRDefault="0000528A" w:rsidP="0000528A">
      <w:pPr>
        <w:numPr>
          <w:ilvl w:val="0"/>
          <w:numId w:val="8"/>
        </w:numPr>
        <w:pBdr>
          <w:top w:val="nil"/>
          <w:left w:val="nil"/>
          <w:bottom w:val="nil"/>
          <w:right w:val="nil"/>
          <w:between w:val="nil"/>
        </w:pBdr>
        <w:tabs>
          <w:tab w:val="left" w:pos="432"/>
          <w:tab w:val="left" w:pos="464"/>
        </w:tabs>
        <w:spacing w:after="120" w:line="360" w:lineRule="auto"/>
        <w:rPr>
          <w:rFonts w:ascii="Arial" w:eastAsia="Arial" w:hAnsi="Arial" w:cs="Arial"/>
          <w:color w:val="010000"/>
          <w:sz w:val="20"/>
          <w:szCs w:val="20"/>
        </w:rPr>
      </w:pPr>
      <w:r w:rsidRPr="00E31192">
        <w:rPr>
          <w:rFonts w:ascii="Arial" w:hAnsi="Arial" w:cs="Arial"/>
          <w:color w:val="010000"/>
          <w:sz w:val="20"/>
        </w:rPr>
        <w:t>AASC Auditing Firm Company Limited;</w:t>
      </w:r>
    </w:p>
    <w:p w14:paraId="5C830A4A" w14:textId="77777777" w:rsidR="00284F18" w:rsidRPr="00E31192" w:rsidRDefault="0000528A" w:rsidP="0000528A">
      <w:pPr>
        <w:numPr>
          <w:ilvl w:val="0"/>
          <w:numId w:val="8"/>
        </w:numPr>
        <w:pBdr>
          <w:top w:val="nil"/>
          <w:left w:val="nil"/>
          <w:bottom w:val="nil"/>
          <w:right w:val="nil"/>
          <w:between w:val="nil"/>
        </w:pBdr>
        <w:tabs>
          <w:tab w:val="left" w:pos="432"/>
          <w:tab w:val="left" w:pos="464"/>
        </w:tabs>
        <w:spacing w:after="120" w:line="360" w:lineRule="auto"/>
        <w:rPr>
          <w:rFonts w:ascii="Arial" w:eastAsia="Arial" w:hAnsi="Arial" w:cs="Arial"/>
          <w:color w:val="010000"/>
          <w:sz w:val="20"/>
          <w:szCs w:val="20"/>
        </w:rPr>
      </w:pPr>
      <w:r w:rsidRPr="00E31192">
        <w:rPr>
          <w:rFonts w:ascii="Arial" w:hAnsi="Arial" w:cs="Arial"/>
          <w:color w:val="010000"/>
          <w:sz w:val="20"/>
        </w:rPr>
        <w:t>A&amp;C Auditing and Consulting Company Limited</w:t>
      </w:r>
    </w:p>
    <w:p w14:paraId="2A2EAD8C" w14:textId="77777777" w:rsidR="00284F18" w:rsidRPr="00E31192" w:rsidRDefault="0000528A" w:rsidP="0000528A">
      <w:pPr>
        <w:numPr>
          <w:ilvl w:val="0"/>
          <w:numId w:val="8"/>
        </w:numPr>
        <w:pBdr>
          <w:top w:val="nil"/>
          <w:left w:val="nil"/>
          <w:bottom w:val="nil"/>
          <w:right w:val="nil"/>
          <w:between w:val="nil"/>
        </w:pBdr>
        <w:tabs>
          <w:tab w:val="left" w:pos="432"/>
          <w:tab w:val="left" w:pos="464"/>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UHY Auditing </w:t>
      </w:r>
      <w:proofErr w:type="gramStart"/>
      <w:r w:rsidRPr="00E31192">
        <w:rPr>
          <w:rFonts w:ascii="Arial" w:hAnsi="Arial" w:cs="Arial"/>
          <w:color w:val="010000"/>
          <w:sz w:val="20"/>
        </w:rPr>
        <w:t>And</w:t>
      </w:r>
      <w:proofErr w:type="gramEnd"/>
      <w:r w:rsidRPr="00E31192">
        <w:rPr>
          <w:rFonts w:ascii="Arial" w:hAnsi="Arial" w:cs="Arial"/>
          <w:color w:val="010000"/>
          <w:sz w:val="20"/>
        </w:rPr>
        <w:t xml:space="preserve"> Consulting Company Limited</w:t>
      </w:r>
    </w:p>
    <w:p w14:paraId="5BC4A694" w14:textId="77777777" w:rsidR="00284F18" w:rsidRPr="00E31192" w:rsidRDefault="0000528A" w:rsidP="0000528A">
      <w:pPr>
        <w:numPr>
          <w:ilvl w:val="0"/>
          <w:numId w:val="8"/>
        </w:numPr>
        <w:pBdr>
          <w:top w:val="nil"/>
          <w:left w:val="nil"/>
          <w:bottom w:val="nil"/>
          <w:right w:val="nil"/>
          <w:between w:val="nil"/>
        </w:pBdr>
        <w:tabs>
          <w:tab w:val="left" w:pos="432"/>
          <w:tab w:val="left" w:pos="464"/>
        </w:tabs>
        <w:spacing w:after="120" w:line="360" w:lineRule="auto"/>
        <w:rPr>
          <w:rFonts w:ascii="Arial" w:eastAsia="Arial" w:hAnsi="Arial" w:cs="Arial"/>
          <w:color w:val="010000"/>
          <w:sz w:val="20"/>
          <w:szCs w:val="20"/>
        </w:rPr>
      </w:pPr>
      <w:r w:rsidRPr="00E31192">
        <w:rPr>
          <w:rFonts w:ascii="Arial" w:hAnsi="Arial" w:cs="Arial"/>
          <w:color w:val="010000"/>
          <w:sz w:val="20"/>
        </w:rPr>
        <w:t xml:space="preserve">Viet Nam Auditing </w:t>
      </w:r>
      <w:proofErr w:type="gramStart"/>
      <w:r w:rsidRPr="00E31192">
        <w:rPr>
          <w:rFonts w:ascii="Arial" w:hAnsi="Arial" w:cs="Arial"/>
          <w:color w:val="010000"/>
          <w:sz w:val="20"/>
        </w:rPr>
        <w:t>And</w:t>
      </w:r>
      <w:proofErr w:type="gramEnd"/>
      <w:r w:rsidRPr="00E31192">
        <w:rPr>
          <w:rFonts w:ascii="Arial" w:hAnsi="Arial" w:cs="Arial"/>
          <w:color w:val="010000"/>
          <w:sz w:val="20"/>
        </w:rPr>
        <w:t xml:space="preserve"> Valuation Company Limited;</w:t>
      </w:r>
    </w:p>
    <w:p w14:paraId="223769FD" w14:textId="77777777" w:rsidR="00284F18" w:rsidRPr="00E31192" w:rsidRDefault="0000528A" w:rsidP="000052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 xml:space="preserve">Authorize the Board of Directors to select an audit company from the above list to audit the Company's Financial Statements 2024. Detailed content according to Proposal No. 01-2024/TT-BKS was sent to </w:t>
      </w:r>
      <w:proofErr w:type="gramStart"/>
      <w:r w:rsidRPr="00E31192">
        <w:rPr>
          <w:rFonts w:ascii="Arial" w:hAnsi="Arial" w:cs="Arial"/>
          <w:color w:val="010000"/>
          <w:sz w:val="20"/>
        </w:rPr>
        <w:t>shareholders</w:t>
      </w:r>
      <w:proofErr w:type="gramEnd"/>
      <w:r w:rsidRPr="00E31192">
        <w:rPr>
          <w:rFonts w:ascii="Arial" w:hAnsi="Arial" w:cs="Arial"/>
          <w:color w:val="010000"/>
          <w:sz w:val="20"/>
        </w:rPr>
        <w:t>/shareholder representatives attending the Meeting.</w:t>
      </w:r>
    </w:p>
    <w:p w14:paraId="42E9C9CE" w14:textId="77777777" w:rsidR="00284F18" w:rsidRPr="00E31192" w:rsidRDefault="0000528A" w:rsidP="000052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Article 8: Terms of enforcement</w:t>
      </w:r>
    </w:p>
    <w:p w14:paraId="1DEFB4D6" w14:textId="7EB62659" w:rsidR="00284F18" w:rsidRPr="00E31192" w:rsidRDefault="0000528A" w:rsidP="000052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The General Mandate 2024 takes effect from April 12, 2024. This</w:t>
      </w:r>
      <w:r w:rsidR="0095575F" w:rsidRPr="00E31192">
        <w:rPr>
          <w:rFonts w:ascii="Arial" w:hAnsi="Arial" w:cs="Arial"/>
          <w:color w:val="010000"/>
          <w:sz w:val="20"/>
        </w:rPr>
        <w:t xml:space="preserve"> General Mandate</w:t>
      </w:r>
      <w:r w:rsidRPr="00E31192">
        <w:rPr>
          <w:rFonts w:ascii="Arial" w:hAnsi="Arial" w:cs="Arial"/>
          <w:color w:val="010000"/>
          <w:sz w:val="20"/>
        </w:rPr>
        <w:t xml:space="preserve"> is posted on the website</w:t>
      </w:r>
      <w:r w:rsidR="002C45FF" w:rsidRPr="00E31192">
        <w:rPr>
          <w:rFonts w:ascii="Arial" w:hAnsi="Arial" w:cs="Arial"/>
          <w:color w:val="010000"/>
          <w:sz w:val="20"/>
        </w:rPr>
        <w:t>:</w:t>
      </w:r>
      <w:r w:rsidRPr="00E31192">
        <w:rPr>
          <w:rFonts w:ascii="Arial" w:hAnsi="Arial" w:cs="Arial"/>
          <w:color w:val="010000"/>
          <w:sz w:val="20"/>
        </w:rPr>
        <w:t xml:space="preserve"> Thephaco.vn, in the Investor Relations section instead of being sent directly to each shareholder.</w:t>
      </w:r>
    </w:p>
    <w:p w14:paraId="0FF936C9" w14:textId="77777777" w:rsidR="00284F18" w:rsidRPr="0000528A" w:rsidRDefault="0000528A" w:rsidP="000052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92">
        <w:rPr>
          <w:rFonts w:ascii="Arial" w:hAnsi="Arial" w:cs="Arial"/>
          <w:color w:val="010000"/>
          <w:sz w:val="20"/>
        </w:rPr>
        <w:t xml:space="preserve">The General Meeting of Shareholders authorizes the Board of Directors and the Supervisory Board of Thanh </w:t>
      </w:r>
      <w:proofErr w:type="spellStart"/>
      <w:r w:rsidRPr="00E31192">
        <w:rPr>
          <w:rFonts w:ascii="Arial" w:hAnsi="Arial" w:cs="Arial"/>
          <w:color w:val="010000"/>
          <w:sz w:val="20"/>
        </w:rPr>
        <w:t>Hoa</w:t>
      </w:r>
      <w:proofErr w:type="spellEnd"/>
      <w:r w:rsidRPr="00E31192">
        <w:rPr>
          <w:rFonts w:ascii="Arial" w:hAnsi="Arial" w:cs="Arial"/>
          <w:color w:val="010000"/>
          <w:sz w:val="20"/>
        </w:rPr>
        <w:t xml:space="preserve"> Pharmaceutical Medical Material Joint Stock Company to organize and supervise the implementation of the General Mandate.</w:t>
      </w:r>
    </w:p>
    <w:sectPr w:rsidR="00284F18" w:rsidRPr="0000528A" w:rsidSect="0000528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073E"/>
    <w:multiLevelType w:val="multilevel"/>
    <w:tmpl w:val="9CD87618"/>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FD40921"/>
    <w:multiLevelType w:val="multilevel"/>
    <w:tmpl w:val="D778B8E0"/>
    <w:lvl w:ilvl="0">
      <w:start w:val="2"/>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451CDB"/>
    <w:multiLevelType w:val="multilevel"/>
    <w:tmpl w:val="8996E04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D0978"/>
    <w:multiLevelType w:val="multilevel"/>
    <w:tmpl w:val="BEA69E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2F51C4A"/>
    <w:multiLevelType w:val="multilevel"/>
    <w:tmpl w:val="D9A6499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D907F4C"/>
    <w:multiLevelType w:val="multilevel"/>
    <w:tmpl w:val="989E60DC"/>
    <w:lvl w:ilvl="0">
      <w:start w:val="1"/>
      <w:numFmt w:val="lowerLetter"/>
      <w:lvlText w:val="%1."/>
      <w:lvlJc w:val="left"/>
      <w:pPr>
        <w:ind w:left="720" w:hanging="360"/>
      </w:pPr>
      <w:rPr>
        <w:b w:val="0"/>
        <w:i w:val="0"/>
        <w:sz w:val="20"/>
        <w:u w:val="none"/>
      </w:rPr>
    </w:lvl>
    <w:lvl w:ilvl="1">
      <w:start w:val="1"/>
      <w:numFmt w:val="lowerRoman"/>
      <w:lvlText w:val="%2."/>
      <w:lvlJc w:val="righ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EBD06A5"/>
    <w:multiLevelType w:val="multilevel"/>
    <w:tmpl w:val="03CC0D80"/>
    <w:lvl w:ilvl="0">
      <w:start w:val="1"/>
      <w:numFmt w:val="lowerLetter"/>
      <w:lvlText w:val="%1."/>
      <w:lvlJc w:val="left"/>
      <w:pPr>
        <w:ind w:left="425" w:hanging="360"/>
      </w:pPr>
      <w:rPr>
        <w:b w:val="0"/>
        <w:i w:val="0"/>
        <w:sz w:val="20"/>
        <w:u w:val="none"/>
      </w:rPr>
    </w:lvl>
    <w:lvl w:ilvl="1">
      <w:start w:val="1"/>
      <w:numFmt w:val="lowerRoman"/>
      <w:lvlText w:val="%2."/>
      <w:lvlJc w:val="righ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93E0178"/>
    <w:multiLevelType w:val="multilevel"/>
    <w:tmpl w:val="6A2485D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EA1DAB"/>
    <w:multiLevelType w:val="multilevel"/>
    <w:tmpl w:val="D50E19B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
  </w:num>
  <w:num w:numId="3">
    <w:abstractNumId w:val="7"/>
  </w:num>
  <w:num w:numId="4">
    <w:abstractNumId w:val="2"/>
  </w:num>
  <w:num w:numId="5">
    <w:abstractNumId w:val="5"/>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18"/>
    <w:rsid w:val="0000528A"/>
    <w:rsid w:val="00284F18"/>
    <w:rsid w:val="002C45FF"/>
    <w:rsid w:val="003E3F57"/>
    <w:rsid w:val="00927ED1"/>
    <w:rsid w:val="0095575F"/>
    <w:rsid w:val="00A01013"/>
    <w:rsid w:val="00E3119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5200E"/>
  <w15:docId w15:val="{A5EEDA24-3838-469B-AF23-6FDA0A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C11937"/>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Tiu10">
    <w:name w:val="Tiêu đề #1"/>
    <w:basedOn w:val="Normal"/>
    <w:link w:val="Tiu1"/>
    <w:pPr>
      <w:jc w:val="center"/>
      <w:outlineLvl w:val="0"/>
    </w:pPr>
    <w:rPr>
      <w:rFonts w:ascii="Arial" w:eastAsia="Arial" w:hAnsi="Arial" w:cs="Arial"/>
      <w:sz w:val="34"/>
      <w:szCs w:val="34"/>
    </w:rPr>
  </w:style>
  <w:style w:type="paragraph" w:customStyle="1" w:styleId="Vnbnnidung30">
    <w:name w:val="Văn bản nội dung (3)"/>
    <w:basedOn w:val="Normal"/>
    <w:link w:val="Vnbnnidung3"/>
    <w:pPr>
      <w:spacing w:line="276" w:lineRule="auto"/>
      <w:jc w:val="center"/>
    </w:pPr>
    <w:rPr>
      <w:rFonts w:ascii="Times New Roman" w:eastAsia="Times New Roman" w:hAnsi="Times New Roman" w:cs="Times New Roman"/>
      <w:sz w:val="17"/>
      <w:szCs w:val="17"/>
    </w:rPr>
  </w:style>
  <w:style w:type="paragraph" w:customStyle="1" w:styleId="Vnbnnidung0">
    <w:name w:val="Văn bản nội dung"/>
    <w:basedOn w:val="Normal"/>
    <w:link w:val="Vnbnnidung"/>
    <w:pPr>
      <w:spacing w:after="40" w:line="382" w:lineRule="auto"/>
    </w:pPr>
    <w:rPr>
      <w:rFonts w:ascii="Times New Roman" w:eastAsia="Times New Roman" w:hAnsi="Times New Roman" w:cs="Times New Roman"/>
    </w:rPr>
  </w:style>
  <w:style w:type="paragraph" w:customStyle="1" w:styleId="Tiu20">
    <w:name w:val="Tiêu đề #2"/>
    <w:basedOn w:val="Normal"/>
    <w:link w:val="Tiu2"/>
    <w:pPr>
      <w:spacing w:after="210"/>
      <w:jc w:val="center"/>
      <w:outlineLvl w:val="1"/>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pPr>
      <w:jc w:val="center"/>
    </w:pPr>
    <w:rPr>
      <w:rFonts w:ascii="Times New Roman" w:eastAsia="Times New Roman" w:hAnsi="Times New Roman" w:cs="Times New Roman"/>
      <w:sz w:val="28"/>
      <w:szCs w:val="28"/>
    </w:rPr>
  </w:style>
  <w:style w:type="paragraph" w:customStyle="1" w:styleId="Khc0">
    <w:name w:val="Khác"/>
    <w:basedOn w:val="Normal"/>
    <w:link w:val="Khc"/>
    <w:pPr>
      <w:spacing w:after="40" w:line="382" w:lineRule="auto"/>
    </w:pPr>
    <w:rPr>
      <w:rFonts w:ascii="Times New Roman" w:eastAsia="Times New Roman" w:hAnsi="Times New Roman" w:cs="Times New Roman"/>
    </w:rPr>
  </w:style>
  <w:style w:type="paragraph" w:customStyle="1" w:styleId="Chthchbng0">
    <w:name w:val="Chú thích bảng"/>
    <w:basedOn w:val="Normal"/>
    <w:link w:val="Chthchbng"/>
    <w:pPr>
      <w:spacing w:line="278" w:lineRule="auto"/>
    </w:pPr>
    <w:rPr>
      <w:rFonts w:ascii="Times New Roman" w:eastAsia="Times New Roman" w:hAnsi="Times New Roman" w:cs="Times New Roman"/>
      <w:i/>
      <w:iCs/>
      <w:sz w:val="26"/>
      <w:szCs w:val="26"/>
    </w:rPr>
  </w:style>
  <w:style w:type="paragraph" w:customStyle="1" w:styleId="Vnbnnidung50">
    <w:name w:val="Văn bản nội dung (5)"/>
    <w:basedOn w:val="Normal"/>
    <w:link w:val="Vnbnnidung5"/>
    <w:pPr>
      <w:spacing w:after="100" w:line="283" w:lineRule="auto"/>
    </w:pPr>
    <w:rPr>
      <w:rFonts w:ascii="Arial" w:eastAsia="Arial" w:hAnsi="Arial" w:cs="Arial"/>
      <w:b/>
      <w:bCs/>
      <w:color w:val="C11937"/>
      <w:sz w:val="17"/>
      <w:szCs w:val="17"/>
    </w:rPr>
  </w:style>
  <w:style w:type="paragraph" w:customStyle="1" w:styleId="Vnbnnidung20">
    <w:name w:val="Văn bản nội dung (2)"/>
    <w:basedOn w:val="Normal"/>
    <w:link w:val="Vnbnnidung2"/>
    <w:pPr>
      <w:ind w:firstLine="36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9CYtE/8UnoxmGoI6hfouwfqdQ==">CgMxLjA4AHIhMVF0c3R4OWxucmlmalZ4Ny1LaDNTWnhkdHpwMFJOOV8y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11</cp:revision>
  <dcterms:created xsi:type="dcterms:W3CDTF">2024-04-16T04:32:00Z</dcterms:created>
  <dcterms:modified xsi:type="dcterms:W3CDTF">2024-04-19T07:22:00Z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fdc42f63dc1ec8204064d5e41a94ed02ea6f6d3531fb0b356649eb3f52fe68c0</vt:lpwstr>
  </property>
</Properties>
</file>