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24F2D"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85079A">
        <w:rPr>
          <w:rFonts w:ascii="Arial" w:hAnsi="Arial" w:cs="Arial"/>
          <w:b/>
          <w:color w:val="010000"/>
          <w:sz w:val="20"/>
        </w:rPr>
        <w:t>LAS: Annual General Mandate 2024</w:t>
      </w:r>
    </w:p>
    <w:p w14:paraId="48245D65" w14:textId="2D407355"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On April 11, 2024, Lam Thao Fertilizers &amp; Chemicals Joint Stock Company announced General Mandate No. 42/2024/NQ-DHC</w:t>
      </w:r>
      <w:r w:rsidR="00431611" w:rsidRPr="0085079A">
        <w:rPr>
          <w:rFonts w:ascii="Arial" w:hAnsi="Arial" w:cs="Arial"/>
          <w:color w:val="010000"/>
          <w:sz w:val="20"/>
        </w:rPr>
        <w:t>D</w:t>
      </w:r>
      <w:r w:rsidRPr="0085079A">
        <w:rPr>
          <w:rFonts w:ascii="Arial" w:hAnsi="Arial" w:cs="Arial"/>
          <w:color w:val="010000"/>
          <w:sz w:val="20"/>
        </w:rPr>
        <w:t>-SPLT as follows:</w:t>
      </w:r>
    </w:p>
    <w:p w14:paraId="361FC2AF"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‎‎Article 1. Approve the Report on production and business results in 2023 and the production and business plan for 2024.</w:t>
      </w:r>
    </w:p>
    <w:p w14:paraId="7B7C88FD"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‎‎Article 2. Approve the Report of the Board of Directors on activities in 2023 and operational orientation for 2024.</w:t>
      </w:r>
    </w:p>
    <w:p w14:paraId="73A054CF" w14:textId="287B760E" w:rsidR="0099412B" w:rsidRPr="0085079A" w:rsidRDefault="00BE0B4B" w:rsidP="00D6773C">
      <w:pPr>
        <w:pBdr>
          <w:top w:val="nil"/>
          <w:left w:val="nil"/>
          <w:bottom w:val="nil"/>
          <w:right w:val="nil"/>
          <w:between w:val="nil"/>
        </w:pBdr>
        <w:tabs>
          <w:tab w:val="left" w:pos="450"/>
          <w:tab w:val="left" w:pos="657"/>
        </w:tabs>
        <w:spacing w:after="120" w:line="360" w:lineRule="auto"/>
        <w:jc w:val="both"/>
        <w:rPr>
          <w:rFonts w:ascii="Arial" w:eastAsia="Arial" w:hAnsi="Arial" w:cs="Arial"/>
          <w:color w:val="010000"/>
          <w:sz w:val="20"/>
          <w:szCs w:val="20"/>
        </w:rPr>
      </w:pPr>
      <w:r w:rsidRPr="0085079A">
        <w:rPr>
          <w:rFonts w:ascii="Arial" w:hAnsi="Arial" w:cs="Arial"/>
          <w:color w:val="010000"/>
          <w:sz w:val="20"/>
        </w:rPr>
        <w:t xml:space="preserve">‎‎Article 3. Approve the </w:t>
      </w:r>
      <w:r w:rsidR="00431611" w:rsidRPr="0085079A">
        <w:rPr>
          <w:rFonts w:ascii="Arial" w:hAnsi="Arial" w:cs="Arial"/>
          <w:color w:val="010000"/>
          <w:sz w:val="20"/>
        </w:rPr>
        <w:t xml:space="preserve">Report </w:t>
      </w:r>
      <w:r w:rsidRPr="0085079A">
        <w:rPr>
          <w:rFonts w:ascii="Arial" w:hAnsi="Arial" w:cs="Arial"/>
          <w:color w:val="010000"/>
          <w:sz w:val="20"/>
        </w:rPr>
        <w:t>on activities of the Supervisory Board in 2023.</w:t>
      </w:r>
    </w:p>
    <w:p w14:paraId="68E26FA0"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‎‎Article 4. Approve the selection of an independent audit company to review the Financial Statements of the first 6 months of the year and audit the Financial Statements 2024.</w:t>
      </w:r>
    </w:p>
    <w:p w14:paraId="51E132A7"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The General Meeting of Shareholders approves the selection criteria and list of audit companies as follows:</w:t>
      </w:r>
    </w:p>
    <w:p w14:paraId="47610F3A" w14:textId="77777777" w:rsidR="0099412B" w:rsidRPr="0085079A" w:rsidRDefault="00BE0B4B" w:rsidP="00D6773C">
      <w:pPr>
        <w:numPr>
          <w:ilvl w:val="0"/>
          <w:numId w:val="2"/>
        </w:numPr>
        <w:pBdr>
          <w:top w:val="nil"/>
          <w:left w:val="nil"/>
          <w:bottom w:val="nil"/>
          <w:right w:val="nil"/>
          <w:between w:val="nil"/>
        </w:pBdr>
        <w:tabs>
          <w:tab w:val="left" w:pos="450"/>
          <w:tab w:val="left" w:pos="805"/>
        </w:tabs>
        <w:spacing w:after="120" w:line="360" w:lineRule="auto"/>
        <w:jc w:val="both"/>
        <w:rPr>
          <w:rFonts w:ascii="Arial" w:eastAsia="Arial" w:hAnsi="Arial" w:cs="Arial"/>
          <w:color w:val="010000"/>
          <w:sz w:val="20"/>
          <w:szCs w:val="20"/>
        </w:rPr>
      </w:pPr>
      <w:r w:rsidRPr="0085079A">
        <w:rPr>
          <w:rFonts w:ascii="Arial" w:hAnsi="Arial" w:cs="Arial"/>
          <w:color w:val="010000"/>
          <w:sz w:val="20"/>
        </w:rPr>
        <w:t>Vietnam Auditing and Evaluation Co., Ltd. (VAE).</w:t>
      </w:r>
    </w:p>
    <w:p w14:paraId="719206C0" w14:textId="77777777" w:rsidR="0099412B" w:rsidRPr="0085079A" w:rsidRDefault="00BE0B4B" w:rsidP="00D6773C">
      <w:pPr>
        <w:numPr>
          <w:ilvl w:val="0"/>
          <w:numId w:val="2"/>
        </w:numPr>
        <w:pBdr>
          <w:top w:val="nil"/>
          <w:left w:val="nil"/>
          <w:bottom w:val="nil"/>
          <w:right w:val="nil"/>
          <w:between w:val="nil"/>
        </w:pBdr>
        <w:tabs>
          <w:tab w:val="left" w:pos="450"/>
          <w:tab w:val="left" w:pos="805"/>
        </w:tabs>
        <w:spacing w:after="120" w:line="360" w:lineRule="auto"/>
        <w:jc w:val="both"/>
        <w:rPr>
          <w:rFonts w:ascii="Arial" w:eastAsia="Arial" w:hAnsi="Arial" w:cs="Arial"/>
          <w:color w:val="010000"/>
          <w:sz w:val="20"/>
          <w:szCs w:val="20"/>
        </w:rPr>
      </w:pPr>
      <w:r w:rsidRPr="0085079A">
        <w:rPr>
          <w:rFonts w:ascii="Arial" w:hAnsi="Arial" w:cs="Arial"/>
          <w:color w:val="010000"/>
          <w:sz w:val="20"/>
        </w:rPr>
        <w:t>AFC Vietnam Auditing Company Limited - Ha Noi Branch.</w:t>
      </w:r>
    </w:p>
    <w:p w14:paraId="0A19D60F" w14:textId="431815E5"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The General Meeting of Shareholder</w:t>
      </w:r>
      <w:bookmarkStart w:id="0" w:name="_GoBack"/>
      <w:bookmarkEnd w:id="0"/>
      <w:r w:rsidRPr="0085079A">
        <w:rPr>
          <w:rFonts w:ascii="Arial" w:hAnsi="Arial" w:cs="Arial"/>
          <w:color w:val="010000"/>
          <w:sz w:val="20"/>
        </w:rPr>
        <w:t>s authorizes the Board of Directors of the Company to select 1 of the 2 above audit companies to review the Financial Statements of the first 6 months of 2024</w:t>
      </w:r>
      <w:r w:rsidR="00431611" w:rsidRPr="0085079A">
        <w:rPr>
          <w:rFonts w:ascii="Arial" w:hAnsi="Arial" w:cs="Arial"/>
          <w:color w:val="010000"/>
          <w:sz w:val="20"/>
        </w:rPr>
        <w:t xml:space="preserve"> and</w:t>
      </w:r>
      <w:r w:rsidRPr="0085079A">
        <w:rPr>
          <w:rFonts w:ascii="Arial" w:hAnsi="Arial" w:cs="Arial"/>
          <w:color w:val="010000"/>
          <w:sz w:val="20"/>
        </w:rPr>
        <w:t xml:space="preserve"> audit the Financial Statements 2024 of the Company. The Company reports to the Annual General Meeting of Shareholders on time.</w:t>
      </w:r>
    </w:p>
    <w:p w14:paraId="1C35BCEA" w14:textId="0E0CC285"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‎‎Article 5. Approve the Financial Statements 2023 audited by Vietnam Auditing and Evaluation Co., Ltd. (VAE).</w:t>
      </w:r>
    </w:p>
    <w:p w14:paraId="549D3114" w14:textId="0678E909"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 xml:space="preserve">The Financial Statements 2023 have been audited by </w:t>
      </w:r>
      <w:r w:rsidR="00431611" w:rsidRPr="0085079A">
        <w:rPr>
          <w:rFonts w:ascii="Arial" w:hAnsi="Arial" w:cs="Arial"/>
          <w:color w:val="010000"/>
          <w:sz w:val="20"/>
        </w:rPr>
        <w:t xml:space="preserve">Vietnam Auditing and Evaluation Co., Ltd. (VAE) </w:t>
      </w:r>
      <w:r w:rsidRPr="0085079A">
        <w:rPr>
          <w:rFonts w:ascii="Arial" w:hAnsi="Arial" w:cs="Arial"/>
          <w:color w:val="010000"/>
          <w:sz w:val="20"/>
        </w:rPr>
        <w:t xml:space="preserve">in accordance with prescribed standards, inspected by the Company's Supervisory Board and approved by the Board of Directors of the Lam Thao Fertilizers &amp; Chemicals Joint Stock Company, section announced according to regulations is also posted on the website: </w:t>
      </w:r>
      <w:r w:rsidR="00431611" w:rsidRPr="0085079A">
        <w:rPr>
          <w:rFonts w:ascii="Arial" w:hAnsi="Arial" w:cs="Arial"/>
          <w:color w:val="010000"/>
          <w:sz w:val="20"/>
        </w:rPr>
        <w:t>h</w:t>
      </w:r>
      <w:r w:rsidRPr="0085079A">
        <w:rPr>
          <w:rFonts w:ascii="Arial" w:hAnsi="Arial" w:cs="Arial"/>
          <w:color w:val="010000"/>
          <w:sz w:val="20"/>
        </w:rPr>
        <w:t>ttps://supelamthao.vn/ and approved by Vietnam National Chemical Group.</w:t>
      </w:r>
    </w:p>
    <w:p w14:paraId="2D709E77" w14:textId="33ECCEFB"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 xml:space="preserve">Some key </w:t>
      </w:r>
      <w:r w:rsidR="00431611" w:rsidRPr="0085079A">
        <w:rPr>
          <w:rFonts w:ascii="Arial" w:hAnsi="Arial" w:cs="Arial"/>
          <w:color w:val="010000"/>
          <w:sz w:val="20"/>
        </w:rPr>
        <w:t>targets</w:t>
      </w:r>
      <w:r w:rsidRPr="0085079A">
        <w:rPr>
          <w:rFonts w:ascii="Arial" w:hAnsi="Arial" w:cs="Arial"/>
          <w:color w:val="010000"/>
          <w:sz w:val="20"/>
        </w:rPr>
        <w:t xml:space="preserve"> on production and business results are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9"/>
        <w:gridCol w:w="5327"/>
        <w:gridCol w:w="2871"/>
      </w:tblGrid>
      <w:tr w:rsidR="0099412B" w:rsidRPr="0085079A" w14:paraId="40EAF81A" w14:textId="77777777" w:rsidTr="00BE0B4B">
        <w:tc>
          <w:tcPr>
            <w:tcW w:w="454" w:type="pct"/>
            <w:shd w:val="clear" w:color="auto" w:fill="auto"/>
            <w:tcMar>
              <w:top w:w="0" w:type="dxa"/>
              <w:bottom w:w="0" w:type="dxa"/>
            </w:tcMar>
            <w:vAlign w:val="center"/>
          </w:tcPr>
          <w:p w14:paraId="547BF8AC"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No.</w:t>
            </w:r>
          </w:p>
        </w:tc>
        <w:tc>
          <w:tcPr>
            <w:tcW w:w="2954" w:type="pct"/>
            <w:shd w:val="clear" w:color="auto" w:fill="auto"/>
            <w:tcMar>
              <w:top w:w="0" w:type="dxa"/>
              <w:bottom w:w="0" w:type="dxa"/>
            </w:tcMar>
            <w:vAlign w:val="center"/>
          </w:tcPr>
          <w:p w14:paraId="32FFB63A"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Target</w:t>
            </w:r>
          </w:p>
        </w:tc>
        <w:tc>
          <w:tcPr>
            <w:tcW w:w="1592" w:type="pct"/>
            <w:shd w:val="clear" w:color="auto" w:fill="auto"/>
            <w:tcMar>
              <w:top w:w="0" w:type="dxa"/>
              <w:bottom w:w="0" w:type="dxa"/>
            </w:tcMar>
            <w:vAlign w:val="center"/>
          </w:tcPr>
          <w:p w14:paraId="16FE9D73"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2023 (VND)</w:t>
            </w:r>
          </w:p>
        </w:tc>
      </w:tr>
      <w:tr w:rsidR="0099412B" w:rsidRPr="0085079A" w14:paraId="5D697406" w14:textId="77777777" w:rsidTr="00BE0B4B">
        <w:tc>
          <w:tcPr>
            <w:tcW w:w="454" w:type="pct"/>
            <w:shd w:val="clear" w:color="auto" w:fill="auto"/>
            <w:tcMar>
              <w:top w:w="0" w:type="dxa"/>
              <w:bottom w:w="0" w:type="dxa"/>
            </w:tcMar>
            <w:vAlign w:val="center"/>
          </w:tcPr>
          <w:p w14:paraId="113CE78C"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1</w:t>
            </w:r>
          </w:p>
        </w:tc>
        <w:tc>
          <w:tcPr>
            <w:tcW w:w="2954" w:type="pct"/>
            <w:shd w:val="clear" w:color="auto" w:fill="auto"/>
            <w:tcMar>
              <w:top w:w="0" w:type="dxa"/>
              <w:bottom w:w="0" w:type="dxa"/>
            </w:tcMar>
            <w:vAlign w:val="center"/>
          </w:tcPr>
          <w:p w14:paraId="688BA120"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Revenue from goods sales and service provision</w:t>
            </w:r>
          </w:p>
        </w:tc>
        <w:tc>
          <w:tcPr>
            <w:tcW w:w="1592" w:type="pct"/>
            <w:shd w:val="clear" w:color="auto" w:fill="auto"/>
            <w:tcMar>
              <w:top w:w="0" w:type="dxa"/>
              <w:bottom w:w="0" w:type="dxa"/>
            </w:tcMar>
            <w:vAlign w:val="center"/>
          </w:tcPr>
          <w:p w14:paraId="4FB13C77"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3,567,874,263,018</w:t>
            </w:r>
          </w:p>
        </w:tc>
      </w:tr>
      <w:tr w:rsidR="0099412B" w:rsidRPr="0085079A" w14:paraId="0026F1B6" w14:textId="77777777" w:rsidTr="00BE0B4B">
        <w:tc>
          <w:tcPr>
            <w:tcW w:w="454" w:type="pct"/>
            <w:shd w:val="clear" w:color="auto" w:fill="auto"/>
            <w:tcMar>
              <w:top w:w="0" w:type="dxa"/>
              <w:bottom w:w="0" w:type="dxa"/>
            </w:tcMar>
            <w:vAlign w:val="center"/>
          </w:tcPr>
          <w:p w14:paraId="3194FF5E"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2</w:t>
            </w:r>
          </w:p>
        </w:tc>
        <w:tc>
          <w:tcPr>
            <w:tcW w:w="2954" w:type="pct"/>
            <w:shd w:val="clear" w:color="auto" w:fill="auto"/>
            <w:tcMar>
              <w:top w:w="0" w:type="dxa"/>
              <w:bottom w:w="0" w:type="dxa"/>
            </w:tcMar>
            <w:vAlign w:val="center"/>
          </w:tcPr>
          <w:p w14:paraId="3C159649"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Net revenue from goods sales and service provision</w:t>
            </w:r>
          </w:p>
        </w:tc>
        <w:tc>
          <w:tcPr>
            <w:tcW w:w="1592" w:type="pct"/>
            <w:shd w:val="clear" w:color="auto" w:fill="auto"/>
            <w:tcMar>
              <w:top w:w="0" w:type="dxa"/>
              <w:bottom w:w="0" w:type="dxa"/>
            </w:tcMar>
            <w:vAlign w:val="center"/>
          </w:tcPr>
          <w:p w14:paraId="23333FE5"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3,440,291,813,598</w:t>
            </w:r>
          </w:p>
        </w:tc>
      </w:tr>
      <w:tr w:rsidR="0099412B" w:rsidRPr="0085079A" w14:paraId="3488C0CA" w14:textId="77777777" w:rsidTr="00BE0B4B">
        <w:tc>
          <w:tcPr>
            <w:tcW w:w="454" w:type="pct"/>
            <w:shd w:val="clear" w:color="auto" w:fill="auto"/>
            <w:tcMar>
              <w:top w:w="0" w:type="dxa"/>
              <w:bottom w:w="0" w:type="dxa"/>
            </w:tcMar>
            <w:vAlign w:val="center"/>
          </w:tcPr>
          <w:p w14:paraId="71138B76"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3</w:t>
            </w:r>
          </w:p>
        </w:tc>
        <w:tc>
          <w:tcPr>
            <w:tcW w:w="2954" w:type="pct"/>
            <w:shd w:val="clear" w:color="auto" w:fill="auto"/>
            <w:tcMar>
              <w:top w:w="0" w:type="dxa"/>
              <w:bottom w:w="0" w:type="dxa"/>
            </w:tcMar>
            <w:vAlign w:val="center"/>
          </w:tcPr>
          <w:p w14:paraId="15DA1E7D"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Net profit from business activities</w:t>
            </w:r>
          </w:p>
        </w:tc>
        <w:tc>
          <w:tcPr>
            <w:tcW w:w="1592" w:type="pct"/>
            <w:shd w:val="clear" w:color="auto" w:fill="auto"/>
            <w:tcMar>
              <w:top w:w="0" w:type="dxa"/>
              <w:bottom w:w="0" w:type="dxa"/>
            </w:tcMar>
            <w:vAlign w:val="center"/>
          </w:tcPr>
          <w:p w14:paraId="6BD06392"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181,042,348,031</w:t>
            </w:r>
          </w:p>
        </w:tc>
      </w:tr>
      <w:tr w:rsidR="0099412B" w:rsidRPr="0085079A" w14:paraId="75C4D8F7" w14:textId="77777777" w:rsidTr="00BE0B4B">
        <w:tc>
          <w:tcPr>
            <w:tcW w:w="454" w:type="pct"/>
            <w:shd w:val="clear" w:color="auto" w:fill="auto"/>
            <w:tcMar>
              <w:top w:w="0" w:type="dxa"/>
              <w:bottom w:w="0" w:type="dxa"/>
            </w:tcMar>
            <w:vAlign w:val="center"/>
          </w:tcPr>
          <w:p w14:paraId="7D58DCD2"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4</w:t>
            </w:r>
          </w:p>
        </w:tc>
        <w:tc>
          <w:tcPr>
            <w:tcW w:w="2954" w:type="pct"/>
            <w:shd w:val="clear" w:color="auto" w:fill="auto"/>
            <w:tcMar>
              <w:top w:w="0" w:type="dxa"/>
              <w:bottom w:w="0" w:type="dxa"/>
            </w:tcMar>
            <w:vAlign w:val="center"/>
          </w:tcPr>
          <w:p w14:paraId="551C6384"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Profit before tax</w:t>
            </w:r>
          </w:p>
        </w:tc>
        <w:tc>
          <w:tcPr>
            <w:tcW w:w="1592" w:type="pct"/>
            <w:shd w:val="clear" w:color="auto" w:fill="auto"/>
            <w:tcMar>
              <w:top w:w="0" w:type="dxa"/>
              <w:bottom w:w="0" w:type="dxa"/>
            </w:tcMar>
            <w:vAlign w:val="center"/>
          </w:tcPr>
          <w:p w14:paraId="3D22A947"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186,315,795,390</w:t>
            </w:r>
          </w:p>
        </w:tc>
      </w:tr>
      <w:tr w:rsidR="0099412B" w:rsidRPr="0085079A" w14:paraId="69BA663E" w14:textId="77777777" w:rsidTr="00BE0B4B">
        <w:tc>
          <w:tcPr>
            <w:tcW w:w="454" w:type="pct"/>
            <w:shd w:val="clear" w:color="auto" w:fill="auto"/>
            <w:tcMar>
              <w:top w:w="0" w:type="dxa"/>
              <w:bottom w:w="0" w:type="dxa"/>
            </w:tcMar>
            <w:vAlign w:val="center"/>
          </w:tcPr>
          <w:p w14:paraId="1BC46335"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5</w:t>
            </w:r>
          </w:p>
        </w:tc>
        <w:tc>
          <w:tcPr>
            <w:tcW w:w="2954" w:type="pct"/>
            <w:shd w:val="clear" w:color="auto" w:fill="auto"/>
            <w:tcMar>
              <w:top w:w="0" w:type="dxa"/>
              <w:bottom w:w="0" w:type="dxa"/>
            </w:tcMar>
            <w:vAlign w:val="center"/>
          </w:tcPr>
          <w:p w14:paraId="581EBC3F"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Profit after tax</w:t>
            </w:r>
          </w:p>
        </w:tc>
        <w:tc>
          <w:tcPr>
            <w:tcW w:w="1592" w:type="pct"/>
            <w:shd w:val="clear" w:color="auto" w:fill="auto"/>
            <w:tcMar>
              <w:top w:w="0" w:type="dxa"/>
              <w:bottom w:w="0" w:type="dxa"/>
            </w:tcMar>
            <w:vAlign w:val="center"/>
          </w:tcPr>
          <w:p w14:paraId="2E28AE7B"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148,538,242,312</w:t>
            </w:r>
          </w:p>
        </w:tc>
      </w:tr>
      <w:tr w:rsidR="0099412B" w:rsidRPr="0085079A" w14:paraId="3AACF08B" w14:textId="77777777" w:rsidTr="00BE0B4B">
        <w:tc>
          <w:tcPr>
            <w:tcW w:w="454" w:type="pct"/>
            <w:shd w:val="clear" w:color="auto" w:fill="auto"/>
            <w:tcMar>
              <w:top w:w="0" w:type="dxa"/>
              <w:bottom w:w="0" w:type="dxa"/>
            </w:tcMar>
            <w:vAlign w:val="center"/>
          </w:tcPr>
          <w:p w14:paraId="2EF15641"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6</w:t>
            </w:r>
          </w:p>
        </w:tc>
        <w:tc>
          <w:tcPr>
            <w:tcW w:w="2954" w:type="pct"/>
            <w:shd w:val="clear" w:color="auto" w:fill="auto"/>
            <w:tcMar>
              <w:top w:w="0" w:type="dxa"/>
              <w:bottom w:w="0" w:type="dxa"/>
            </w:tcMar>
            <w:vAlign w:val="center"/>
          </w:tcPr>
          <w:p w14:paraId="7B86CD82"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Basic earnings per share</w:t>
            </w:r>
          </w:p>
        </w:tc>
        <w:tc>
          <w:tcPr>
            <w:tcW w:w="1592" w:type="pct"/>
            <w:shd w:val="clear" w:color="auto" w:fill="auto"/>
            <w:tcMar>
              <w:top w:w="0" w:type="dxa"/>
              <w:bottom w:w="0" w:type="dxa"/>
            </w:tcMar>
            <w:vAlign w:val="center"/>
          </w:tcPr>
          <w:p w14:paraId="7D86E284"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1,185</w:t>
            </w:r>
          </w:p>
        </w:tc>
      </w:tr>
      <w:tr w:rsidR="0099412B" w:rsidRPr="0085079A" w14:paraId="2B64E068" w14:textId="77777777" w:rsidTr="00BE0B4B">
        <w:tc>
          <w:tcPr>
            <w:tcW w:w="454" w:type="pct"/>
            <w:shd w:val="clear" w:color="auto" w:fill="auto"/>
            <w:tcMar>
              <w:top w:w="0" w:type="dxa"/>
              <w:bottom w:w="0" w:type="dxa"/>
            </w:tcMar>
            <w:vAlign w:val="center"/>
          </w:tcPr>
          <w:p w14:paraId="1794D173"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lastRenderedPageBreak/>
              <w:t>7</w:t>
            </w:r>
          </w:p>
        </w:tc>
        <w:tc>
          <w:tcPr>
            <w:tcW w:w="2954" w:type="pct"/>
            <w:shd w:val="clear" w:color="auto" w:fill="auto"/>
            <w:tcMar>
              <w:top w:w="0" w:type="dxa"/>
              <w:bottom w:w="0" w:type="dxa"/>
            </w:tcMar>
            <w:vAlign w:val="center"/>
          </w:tcPr>
          <w:p w14:paraId="4333F129"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Payable to state budget</w:t>
            </w:r>
          </w:p>
        </w:tc>
        <w:tc>
          <w:tcPr>
            <w:tcW w:w="1592" w:type="pct"/>
            <w:shd w:val="clear" w:color="auto" w:fill="auto"/>
            <w:tcMar>
              <w:top w:w="0" w:type="dxa"/>
              <w:bottom w:w="0" w:type="dxa"/>
            </w:tcMar>
            <w:vAlign w:val="center"/>
          </w:tcPr>
          <w:p w14:paraId="3AB77734"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35,243,017,500</w:t>
            </w:r>
          </w:p>
        </w:tc>
      </w:tr>
    </w:tbl>
    <w:p w14:paraId="5801B971" w14:textId="77777777" w:rsidR="0099412B" w:rsidRPr="0085079A" w:rsidRDefault="00BE0B4B" w:rsidP="00D6773C">
      <w:pPr>
        <w:pBdr>
          <w:top w:val="nil"/>
          <w:left w:val="nil"/>
          <w:bottom w:val="nil"/>
          <w:right w:val="nil"/>
          <w:between w:val="nil"/>
        </w:pBdr>
        <w:tabs>
          <w:tab w:val="left" w:pos="450"/>
          <w:tab w:val="left" w:pos="6271"/>
          <w:tab w:val="left" w:pos="8806"/>
        </w:tabs>
        <w:spacing w:after="120" w:line="360" w:lineRule="auto"/>
        <w:jc w:val="both"/>
        <w:rPr>
          <w:rFonts w:ascii="Arial" w:eastAsia="Arial" w:hAnsi="Arial" w:cs="Arial"/>
          <w:color w:val="010000"/>
          <w:sz w:val="20"/>
          <w:szCs w:val="20"/>
        </w:rPr>
      </w:pPr>
      <w:r w:rsidRPr="0085079A">
        <w:rPr>
          <w:rFonts w:ascii="Arial" w:hAnsi="Arial" w:cs="Arial"/>
          <w:color w:val="010000"/>
          <w:sz w:val="20"/>
        </w:rPr>
        <w:t xml:space="preserve">‎‎Article 6. Approve profit distribution, appropriation for funds and dividend payment plans in 2023.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2"/>
        <w:gridCol w:w="5600"/>
        <w:gridCol w:w="2595"/>
      </w:tblGrid>
      <w:tr w:rsidR="0099412B" w:rsidRPr="0085079A" w14:paraId="35BEC349" w14:textId="77777777" w:rsidTr="00BE0B4B">
        <w:tc>
          <w:tcPr>
            <w:tcW w:w="456" w:type="pct"/>
            <w:shd w:val="clear" w:color="auto" w:fill="auto"/>
            <w:tcMar>
              <w:top w:w="0" w:type="dxa"/>
              <w:bottom w:w="0" w:type="dxa"/>
            </w:tcMar>
            <w:vAlign w:val="center"/>
          </w:tcPr>
          <w:p w14:paraId="5533FEB7"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No.</w:t>
            </w:r>
          </w:p>
        </w:tc>
        <w:tc>
          <w:tcPr>
            <w:tcW w:w="3105" w:type="pct"/>
            <w:shd w:val="clear" w:color="auto" w:fill="auto"/>
            <w:tcMar>
              <w:top w:w="0" w:type="dxa"/>
              <w:bottom w:w="0" w:type="dxa"/>
            </w:tcMar>
            <w:vAlign w:val="center"/>
          </w:tcPr>
          <w:p w14:paraId="46BF8414"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Target</w:t>
            </w:r>
          </w:p>
        </w:tc>
        <w:tc>
          <w:tcPr>
            <w:tcW w:w="1439" w:type="pct"/>
            <w:shd w:val="clear" w:color="auto" w:fill="auto"/>
            <w:tcMar>
              <w:top w:w="0" w:type="dxa"/>
              <w:bottom w:w="0" w:type="dxa"/>
            </w:tcMar>
            <w:vAlign w:val="center"/>
          </w:tcPr>
          <w:p w14:paraId="3C3AC5B0"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2023 (VND)</w:t>
            </w:r>
          </w:p>
        </w:tc>
      </w:tr>
      <w:tr w:rsidR="0099412B" w:rsidRPr="0085079A" w14:paraId="123CAB36" w14:textId="77777777" w:rsidTr="00BE0B4B">
        <w:tc>
          <w:tcPr>
            <w:tcW w:w="456" w:type="pct"/>
            <w:shd w:val="clear" w:color="auto" w:fill="auto"/>
            <w:tcMar>
              <w:top w:w="0" w:type="dxa"/>
              <w:bottom w:w="0" w:type="dxa"/>
            </w:tcMar>
            <w:vAlign w:val="center"/>
          </w:tcPr>
          <w:p w14:paraId="725692E5"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1</w:t>
            </w:r>
          </w:p>
        </w:tc>
        <w:tc>
          <w:tcPr>
            <w:tcW w:w="3105" w:type="pct"/>
            <w:shd w:val="clear" w:color="auto" w:fill="auto"/>
            <w:tcMar>
              <w:top w:w="0" w:type="dxa"/>
              <w:bottom w:w="0" w:type="dxa"/>
            </w:tcMar>
            <w:vAlign w:val="center"/>
          </w:tcPr>
          <w:p w14:paraId="7E4E510D" w14:textId="1ECD4C33"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Undistributed profits from the previous year transferred to this year</w:t>
            </w:r>
          </w:p>
        </w:tc>
        <w:tc>
          <w:tcPr>
            <w:tcW w:w="1439" w:type="pct"/>
            <w:shd w:val="clear" w:color="auto" w:fill="auto"/>
            <w:tcMar>
              <w:top w:w="0" w:type="dxa"/>
              <w:bottom w:w="0" w:type="dxa"/>
            </w:tcMar>
            <w:vAlign w:val="center"/>
          </w:tcPr>
          <w:p w14:paraId="1D88554A"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13,999,916,998</w:t>
            </w:r>
          </w:p>
        </w:tc>
      </w:tr>
      <w:tr w:rsidR="0099412B" w:rsidRPr="0085079A" w14:paraId="190C8A12" w14:textId="77777777" w:rsidTr="00BE0B4B">
        <w:tc>
          <w:tcPr>
            <w:tcW w:w="456" w:type="pct"/>
            <w:shd w:val="clear" w:color="auto" w:fill="auto"/>
            <w:tcMar>
              <w:top w:w="0" w:type="dxa"/>
              <w:bottom w:w="0" w:type="dxa"/>
            </w:tcMar>
            <w:vAlign w:val="center"/>
          </w:tcPr>
          <w:p w14:paraId="3C80FA5A"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2</w:t>
            </w:r>
          </w:p>
        </w:tc>
        <w:tc>
          <w:tcPr>
            <w:tcW w:w="3105" w:type="pct"/>
            <w:shd w:val="clear" w:color="auto" w:fill="auto"/>
            <w:tcMar>
              <w:top w:w="0" w:type="dxa"/>
              <w:bottom w:w="0" w:type="dxa"/>
            </w:tcMar>
            <w:vAlign w:val="center"/>
          </w:tcPr>
          <w:p w14:paraId="3B113054"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Total undistributed profit</w:t>
            </w:r>
          </w:p>
        </w:tc>
        <w:tc>
          <w:tcPr>
            <w:tcW w:w="1439" w:type="pct"/>
            <w:shd w:val="clear" w:color="auto" w:fill="auto"/>
            <w:tcMar>
              <w:top w:w="0" w:type="dxa"/>
              <w:bottom w:w="0" w:type="dxa"/>
            </w:tcMar>
            <w:vAlign w:val="center"/>
          </w:tcPr>
          <w:p w14:paraId="1D77D3FE"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153,717,485,073</w:t>
            </w:r>
          </w:p>
        </w:tc>
      </w:tr>
      <w:tr w:rsidR="0099412B" w:rsidRPr="0085079A" w14:paraId="1D0A5DB1" w14:textId="77777777" w:rsidTr="00BE0B4B">
        <w:tc>
          <w:tcPr>
            <w:tcW w:w="456" w:type="pct"/>
            <w:shd w:val="clear" w:color="auto" w:fill="auto"/>
            <w:tcMar>
              <w:top w:w="0" w:type="dxa"/>
              <w:bottom w:w="0" w:type="dxa"/>
            </w:tcMar>
            <w:vAlign w:val="center"/>
          </w:tcPr>
          <w:p w14:paraId="1119A35E"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a</w:t>
            </w:r>
          </w:p>
        </w:tc>
        <w:tc>
          <w:tcPr>
            <w:tcW w:w="3105" w:type="pct"/>
            <w:shd w:val="clear" w:color="auto" w:fill="auto"/>
            <w:tcMar>
              <w:top w:w="0" w:type="dxa"/>
              <w:bottom w:w="0" w:type="dxa"/>
            </w:tcMar>
            <w:vAlign w:val="center"/>
          </w:tcPr>
          <w:p w14:paraId="1F9D03EC"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Profit after tax in 2023</w:t>
            </w:r>
          </w:p>
        </w:tc>
        <w:tc>
          <w:tcPr>
            <w:tcW w:w="1439" w:type="pct"/>
            <w:shd w:val="clear" w:color="auto" w:fill="auto"/>
            <w:tcMar>
              <w:top w:w="0" w:type="dxa"/>
              <w:bottom w:w="0" w:type="dxa"/>
            </w:tcMar>
            <w:vAlign w:val="center"/>
          </w:tcPr>
          <w:p w14:paraId="65AC461B"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148,538,242,312</w:t>
            </w:r>
          </w:p>
        </w:tc>
      </w:tr>
      <w:tr w:rsidR="0099412B" w:rsidRPr="0085079A" w14:paraId="4D5B1EAB" w14:textId="77777777" w:rsidTr="00BE0B4B">
        <w:tc>
          <w:tcPr>
            <w:tcW w:w="456" w:type="pct"/>
            <w:shd w:val="clear" w:color="auto" w:fill="auto"/>
            <w:tcMar>
              <w:top w:w="0" w:type="dxa"/>
              <w:bottom w:w="0" w:type="dxa"/>
            </w:tcMar>
            <w:vAlign w:val="center"/>
          </w:tcPr>
          <w:p w14:paraId="31B907A6"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b</w:t>
            </w:r>
          </w:p>
        </w:tc>
        <w:tc>
          <w:tcPr>
            <w:tcW w:w="3105" w:type="pct"/>
            <w:shd w:val="clear" w:color="auto" w:fill="auto"/>
            <w:tcMar>
              <w:top w:w="0" w:type="dxa"/>
              <w:bottom w:w="0" w:type="dxa"/>
            </w:tcMar>
            <w:vAlign w:val="center"/>
          </w:tcPr>
          <w:p w14:paraId="22673590"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Profit after tax according to the State’s tax inspection record</w:t>
            </w:r>
          </w:p>
        </w:tc>
        <w:tc>
          <w:tcPr>
            <w:tcW w:w="1439" w:type="pct"/>
            <w:shd w:val="clear" w:color="auto" w:fill="auto"/>
            <w:tcMar>
              <w:top w:w="0" w:type="dxa"/>
              <w:bottom w:w="0" w:type="dxa"/>
            </w:tcMar>
            <w:vAlign w:val="center"/>
          </w:tcPr>
          <w:p w14:paraId="6C7E8903"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5,179,242,761</w:t>
            </w:r>
          </w:p>
        </w:tc>
      </w:tr>
      <w:tr w:rsidR="0099412B" w:rsidRPr="0085079A" w14:paraId="5AC008EF" w14:textId="77777777" w:rsidTr="00BE0B4B">
        <w:tc>
          <w:tcPr>
            <w:tcW w:w="456" w:type="pct"/>
            <w:shd w:val="clear" w:color="auto" w:fill="auto"/>
            <w:tcMar>
              <w:top w:w="0" w:type="dxa"/>
              <w:bottom w:w="0" w:type="dxa"/>
            </w:tcMar>
            <w:vAlign w:val="center"/>
          </w:tcPr>
          <w:p w14:paraId="3BB45339"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3</w:t>
            </w:r>
          </w:p>
        </w:tc>
        <w:tc>
          <w:tcPr>
            <w:tcW w:w="3105" w:type="pct"/>
            <w:shd w:val="clear" w:color="auto" w:fill="auto"/>
            <w:tcMar>
              <w:top w:w="0" w:type="dxa"/>
              <w:bottom w:w="0" w:type="dxa"/>
            </w:tcMar>
            <w:vAlign w:val="center"/>
          </w:tcPr>
          <w:p w14:paraId="0FE98807"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Total profit distributed during the year</w:t>
            </w:r>
          </w:p>
        </w:tc>
        <w:tc>
          <w:tcPr>
            <w:tcW w:w="1439" w:type="pct"/>
            <w:shd w:val="clear" w:color="auto" w:fill="auto"/>
            <w:tcMar>
              <w:top w:w="0" w:type="dxa"/>
              <w:bottom w:w="0" w:type="dxa"/>
            </w:tcMar>
            <w:vAlign w:val="center"/>
          </w:tcPr>
          <w:p w14:paraId="0D14319D"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144,210,772,014</w:t>
            </w:r>
          </w:p>
        </w:tc>
      </w:tr>
      <w:tr w:rsidR="0099412B" w:rsidRPr="0085079A" w14:paraId="71F021A8" w14:textId="77777777" w:rsidTr="00BE0B4B">
        <w:tc>
          <w:tcPr>
            <w:tcW w:w="456" w:type="pct"/>
            <w:shd w:val="clear" w:color="auto" w:fill="auto"/>
            <w:tcMar>
              <w:top w:w="0" w:type="dxa"/>
              <w:bottom w:w="0" w:type="dxa"/>
            </w:tcMar>
            <w:vAlign w:val="center"/>
          </w:tcPr>
          <w:p w14:paraId="14239BCF"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a</w:t>
            </w:r>
          </w:p>
        </w:tc>
        <w:tc>
          <w:tcPr>
            <w:tcW w:w="3105" w:type="pct"/>
            <w:shd w:val="clear" w:color="auto" w:fill="auto"/>
            <w:tcMar>
              <w:top w:w="0" w:type="dxa"/>
              <w:bottom w:w="0" w:type="dxa"/>
            </w:tcMar>
            <w:vAlign w:val="center"/>
          </w:tcPr>
          <w:p w14:paraId="351D05A7"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Appropriation for funds</w:t>
            </w:r>
          </w:p>
        </w:tc>
        <w:tc>
          <w:tcPr>
            <w:tcW w:w="1439" w:type="pct"/>
            <w:shd w:val="clear" w:color="auto" w:fill="auto"/>
            <w:tcMar>
              <w:top w:w="0" w:type="dxa"/>
              <w:bottom w:w="0" w:type="dxa"/>
            </w:tcMar>
            <w:vAlign w:val="center"/>
          </w:tcPr>
          <w:p w14:paraId="356EAD03"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30,743,497,014</w:t>
            </w:r>
          </w:p>
        </w:tc>
      </w:tr>
      <w:tr w:rsidR="0099412B" w:rsidRPr="0085079A" w14:paraId="3DDC7DDC" w14:textId="77777777" w:rsidTr="00BE0B4B">
        <w:tc>
          <w:tcPr>
            <w:tcW w:w="456" w:type="pct"/>
            <w:shd w:val="clear" w:color="auto" w:fill="auto"/>
            <w:tcMar>
              <w:top w:w="0" w:type="dxa"/>
              <w:bottom w:w="0" w:type="dxa"/>
            </w:tcMar>
            <w:vAlign w:val="center"/>
          </w:tcPr>
          <w:p w14:paraId="24481482" w14:textId="77777777" w:rsidR="0099412B" w:rsidRPr="0085079A" w:rsidRDefault="0099412B" w:rsidP="00D6773C">
            <w:pPr>
              <w:tabs>
                <w:tab w:val="left" w:pos="450"/>
              </w:tabs>
              <w:spacing w:after="120" w:line="360" w:lineRule="auto"/>
              <w:jc w:val="both"/>
              <w:rPr>
                <w:rFonts w:ascii="Arial" w:eastAsia="Arial" w:hAnsi="Arial" w:cs="Arial"/>
                <w:color w:val="010000"/>
                <w:sz w:val="20"/>
                <w:szCs w:val="20"/>
              </w:rPr>
            </w:pPr>
          </w:p>
        </w:tc>
        <w:tc>
          <w:tcPr>
            <w:tcW w:w="3105" w:type="pct"/>
            <w:shd w:val="clear" w:color="auto" w:fill="auto"/>
            <w:tcMar>
              <w:top w:w="0" w:type="dxa"/>
              <w:bottom w:w="0" w:type="dxa"/>
            </w:tcMar>
            <w:vAlign w:val="center"/>
          </w:tcPr>
          <w:p w14:paraId="7C47770B"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 Bonus and welfare fund: 10% of profit after tax in 2023</w:t>
            </w:r>
          </w:p>
        </w:tc>
        <w:tc>
          <w:tcPr>
            <w:tcW w:w="1439" w:type="pct"/>
            <w:shd w:val="clear" w:color="auto" w:fill="auto"/>
            <w:tcMar>
              <w:top w:w="0" w:type="dxa"/>
              <w:bottom w:w="0" w:type="dxa"/>
            </w:tcMar>
            <w:vAlign w:val="center"/>
          </w:tcPr>
          <w:p w14:paraId="5CAEED8F"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15,371,748,507</w:t>
            </w:r>
          </w:p>
        </w:tc>
      </w:tr>
      <w:tr w:rsidR="0099412B" w:rsidRPr="0085079A" w14:paraId="463704C8" w14:textId="77777777" w:rsidTr="00BE0B4B">
        <w:tc>
          <w:tcPr>
            <w:tcW w:w="456" w:type="pct"/>
            <w:shd w:val="clear" w:color="auto" w:fill="auto"/>
            <w:tcMar>
              <w:top w:w="0" w:type="dxa"/>
              <w:bottom w:w="0" w:type="dxa"/>
            </w:tcMar>
            <w:vAlign w:val="center"/>
          </w:tcPr>
          <w:p w14:paraId="4ED544E0" w14:textId="77777777" w:rsidR="0099412B" w:rsidRPr="0085079A" w:rsidRDefault="0099412B" w:rsidP="00D6773C">
            <w:pPr>
              <w:tabs>
                <w:tab w:val="left" w:pos="450"/>
              </w:tabs>
              <w:spacing w:after="120" w:line="360" w:lineRule="auto"/>
              <w:jc w:val="both"/>
              <w:rPr>
                <w:rFonts w:ascii="Arial" w:eastAsia="Arial" w:hAnsi="Arial" w:cs="Arial"/>
                <w:color w:val="010000"/>
                <w:sz w:val="20"/>
                <w:szCs w:val="20"/>
              </w:rPr>
            </w:pPr>
          </w:p>
        </w:tc>
        <w:tc>
          <w:tcPr>
            <w:tcW w:w="3105" w:type="pct"/>
            <w:shd w:val="clear" w:color="auto" w:fill="auto"/>
            <w:tcMar>
              <w:top w:w="0" w:type="dxa"/>
              <w:bottom w:w="0" w:type="dxa"/>
            </w:tcMar>
            <w:vAlign w:val="center"/>
          </w:tcPr>
          <w:p w14:paraId="66C02B0D"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 Investment and development fund: 10% of profit after tax in 2023</w:t>
            </w:r>
          </w:p>
        </w:tc>
        <w:tc>
          <w:tcPr>
            <w:tcW w:w="1439" w:type="pct"/>
            <w:shd w:val="clear" w:color="auto" w:fill="auto"/>
            <w:tcMar>
              <w:top w:w="0" w:type="dxa"/>
              <w:bottom w:w="0" w:type="dxa"/>
            </w:tcMar>
            <w:vAlign w:val="center"/>
          </w:tcPr>
          <w:p w14:paraId="75407E37"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15,371,748,507</w:t>
            </w:r>
          </w:p>
        </w:tc>
      </w:tr>
      <w:tr w:rsidR="0099412B" w:rsidRPr="0085079A" w14:paraId="53A0AD39" w14:textId="77777777" w:rsidTr="00BE0B4B">
        <w:tc>
          <w:tcPr>
            <w:tcW w:w="456" w:type="pct"/>
            <w:shd w:val="clear" w:color="auto" w:fill="auto"/>
            <w:tcMar>
              <w:top w:w="0" w:type="dxa"/>
              <w:bottom w:w="0" w:type="dxa"/>
            </w:tcMar>
            <w:vAlign w:val="center"/>
          </w:tcPr>
          <w:p w14:paraId="47BF4FC9"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b</w:t>
            </w:r>
          </w:p>
        </w:tc>
        <w:tc>
          <w:tcPr>
            <w:tcW w:w="3105" w:type="pct"/>
            <w:shd w:val="clear" w:color="auto" w:fill="auto"/>
            <w:tcMar>
              <w:top w:w="0" w:type="dxa"/>
              <w:bottom w:w="0" w:type="dxa"/>
            </w:tcMar>
            <w:vAlign w:val="center"/>
          </w:tcPr>
          <w:p w14:paraId="1164B7C6"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Remuneration of the non-executive Board of Directors</w:t>
            </w:r>
          </w:p>
        </w:tc>
        <w:tc>
          <w:tcPr>
            <w:tcW w:w="1439" w:type="pct"/>
            <w:shd w:val="clear" w:color="auto" w:fill="auto"/>
            <w:tcMar>
              <w:top w:w="0" w:type="dxa"/>
              <w:bottom w:w="0" w:type="dxa"/>
            </w:tcMar>
            <w:vAlign w:val="center"/>
          </w:tcPr>
          <w:p w14:paraId="5FEAF407"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204,000,000</w:t>
            </w:r>
          </w:p>
        </w:tc>
      </w:tr>
      <w:tr w:rsidR="0099412B" w:rsidRPr="0085079A" w14:paraId="3579E95D" w14:textId="77777777" w:rsidTr="00BE0B4B">
        <w:tc>
          <w:tcPr>
            <w:tcW w:w="456" w:type="pct"/>
            <w:shd w:val="clear" w:color="auto" w:fill="auto"/>
            <w:tcMar>
              <w:top w:w="0" w:type="dxa"/>
              <w:bottom w:w="0" w:type="dxa"/>
            </w:tcMar>
            <w:vAlign w:val="center"/>
          </w:tcPr>
          <w:p w14:paraId="56224723"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c</w:t>
            </w:r>
          </w:p>
        </w:tc>
        <w:tc>
          <w:tcPr>
            <w:tcW w:w="3105" w:type="pct"/>
            <w:shd w:val="clear" w:color="auto" w:fill="auto"/>
            <w:tcMar>
              <w:top w:w="0" w:type="dxa"/>
              <w:bottom w:w="0" w:type="dxa"/>
            </w:tcMar>
            <w:vAlign w:val="center"/>
          </w:tcPr>
          <w:p w14:paraId="7C0FE4F9"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Pay dividends of 2023 in cash with the rate of 10%</w:t>
            </w:r>
          </w:p>
        </w:tc>
        <w:tc>
          <w:tcPr>
            <w:tcW w:w="1439" w:type="pct"/>
            <w:shd w:val="clear" w:color="auto" w:fill="auto"/>
            <w:tcMar>
              <w:top w:w="0" w:type="dxa"/>
              <w:bottom w:w="0" w:type="dxa"/>
            </w:tcMar>
            <w:vAlign w:val="center"/>
          </w:tcPr>
          <w:p w14:paraId="08D02DCE"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112,856,400,000</w:t>
            </w:r>
          </w:p>
        </w:tc>
      </w:tr>
      <w:tr w:rsidR="0099412B" w:rsidRPr="0085079A" w14:paraId="3C34BB6B" w14:textId="77777777" w:rsidTr="00BE0B4B">
        <w:tc>
          <w:tcPr>
            <w:tcW w:w="456" w:type="pct"/>
            <w:shd w:val="clear" w:color="auto" w:fill="auto"/>
            <w:tcMar>
              <w:top w:w="0" w:type="dxa"/>
              <w:bottom w:w="0" w:type="dxa"/>
            </w:tcMar>
            <w:vAlign w:val="center"/>
          </w:tcPr>
          <w:p w14:paraId="20FA7119"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d</w:t>
            </w:r>
          </w:p>
        </w:tc>
        <w:tc>
          <w:tcPr>
            <w:tcW w:w="3105" w:type="pct"/>
            <w:shd w:val="clear" w:color="auto" w:fill="auto"/>
            <w:tcMar>
              <w:top w:w="0" w:type="dxa"/>
              <w:bottom w:w="0" w:type="dxa"/>
            </w:tcMar>
            <w:vAlign w:val="center"/>
          </w:tcPr>
          <w:p w14:paraId="42D19D87"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Bonus for the Executive Board</w:t>
            </w:r>
          </w:p>
        </w:tc>
        <w:tc>
          <w:tcPr>
            <w:tcW w:w="1439" w:type="pct"/>
            <w:shd w:val="clear" w:color="auto" w:fill="auto"/>
            <w:tcMar>
              <w:top w:w="0" w:type="dxa"/>
              <w:bottom w:w="0" w:type="dxa"/>
            </w:tcMar>
            <w:vAlign w:val="center"/>
          </w:tcPr>
          <w:p w14:paraId="7E952EE3"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406,875,000</w:t>
            </w:r>
          </w:p>
        </w:tc>
      </w:tr>
      <w:tr w:rsidR="0099412B" w:rsidRPr="0085079A" w14:paraId="76F03B45" w14:textId="77777777" w:rsidTr="00BE0B4B">
        <w:tc>
          <w:tcPr>
            <w:tcW w:w="456" w:type="pct"/>
            <w:shd w:val="clear" w:color="auto" w:fill="auto"/>
            <w:tcMar>
              <w:top w:w="0" w:type="dxa"/>
              <w:bottom w:w="0" w:type="dxa"/>
            </w:tcMar>
            <w:vAlign w:val="center"/>
          </w:tcPr>
          <w:p w14:paraId="4E06C293"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4</w:t>
            </w:r>
          </w:p>
        </w:tc>
        <w:tc>
          <w:tcPr>
            <w:tcW w:w="3105" w:type="pct"/>
            <w:shd w:val="clear" w:color="auto" w:fill="auto"/>
            <w:tcMar>
              <w:top w:w="0" w:type="dxa"/>
              <w:bottom w:w="0" w:type="dxa"/>
            </w:tcMar>
            <w:vAlign w:val="center"/>
          </w:tcPr>
          <w:p w14:paraId="74635EE9"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Undistributed profits (=1+2-3)</w:t>
            </w:r>
          </w:p>
        </w:tc>
        <w:tc>
          <w:tcPr>
            <w:tcW w:w="1439" w:type="pct"/>
            <w:shd w:val="clear" w:color="auto" w:fill="auto"/>
            <w:tcMar>
              <w:top w:w="0" w:type="dxa"/>
              <w:bottom w:w="0" w:type="dxa"/>
            </w:tcMar>
            <w:vAlign w:val="center"/>
          </w:tcPr>
          <w:p w14:paraId="233D04DC"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23,506,630,057</w:t>
            </w:r>
          </w:p>
        </w:tc>
      </w:tr>
    </w:tbl>
    <w:p w14:paraId="791EAD9D"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The General Meeting of Shareholders authorizes and assigns the Board of Directors of the Company to direct the implementation of profit distribution, appropriation for funds, and carry out procedures for paying dividends in 2023 to shareholders in accordance with the provisions of law and the Charter of the Company.</w:t>
      </w:r>
    </w:p>
    <w:p w14:paraId="28F76170" w14:textId="4D65F5F1" w:rsidR="0099412B" w:rsidRPr="0085079A" w:rsidRDefault="00BE0B4B" w:rsidP="00D6773C">
      <w:pP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 xml:space="preserve">‎‎Article 7. Approve the </w:t>
      </w:r>
      <w:r w:rsidR="00431611" w:rsidRPr="0085079A">
        <w:rPr>
          <w:rFonts w:ascii="Arial" w:hAnsi="Arial" w:cs="Arial"/>
          <w:color w:val="010000"/>
          <w:sz w:val="20"/>
        </w:rPr>
        <w:t xml:space="preserve">production and </w:t>
      </w:r>
      <w:r w:rsidRPr="0085079A">
        <w:rPr>
          <w:rFonts w:ascii="Arial" w:hAnsi="Arial" w:cs="Arial"/>
          <w:color w:val="010000"/>
          <w:sz w:val="20"/>
        </w:rPr>
        <w:t>business plan for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8"/>
        <w:gridCol w:w="3307"/>
        <w:gridCol w:w="4882"/>
      </w:tblGrid>
      <w:tr w:rsidR="0099412B" w:rsidRPr="0085079A" w14:paraId="657C319A" w14:textId="77777777" w:rsidTr="00BE0B4B">
        <w:tc>
          <w:tcPr>
            <w:tcW w:w="459" w:type="pct"/>
            <w:shd w:val="clear" w:color="auto" w:fill="auto"/>
            <w:tcMar>
              <w:top w:w="0" w:type="dxa"/>
              <w:bottom w:w="0" w:type="dxa"/>
            </w:tcMar>
            <w:vAlign w:val="center"/>
          </w:tcPr>
          <w:p w14:paraId="3561D3D7"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No.</w:t>
            </w:r>
          </w:p>
        </w:tc>
        <w:tc>
          <w:tcPr>
            <w:tcW w:w="1834" w:type="pct"/>
            <w:shd w:val="clear" w:color="auto" w:fill="auto"/>
            <w:tcMar>
              <w:top w:w="0" w:type="dxa"/>
              <w:bottom w:w="0" w:type="dxa"/>
            </w:tcMar>
            <w:vAlign w:val="center"/>
          </w:tcPr>
          <w:p w14:paraId="0508A3E5"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Target</w:t>
            </w:r>
          </w:p>
        </w:tc>
        <w:tc>
          <w:tcPr>
            <w:tcW w:w="2707" w:type="pct"/>
            <w:shd w:val="clear" w:color="auto" w:fill="auto"/>
            <w:tcMar>
              <w:top w:w="0" w:type="dxa"/>
              <w:bottom w:w="0" w:type="dxa"/>
            </w:tcMar>
            <w:vAlign w:val="center"/>
          </w:tcPr>
          <w:p w14:paraId="378431ED"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Value</w:t>
            </w:r>
          </w:p>
        </w:tc>
      </w:tr>
      <w:tr w:rsidR="0099412B" w:rsidRPr="0085079A" w14:paraId="13E4CC7B" w14:textId="77777777" w:rsidTr="00BE0B4B">
        <w:tc>
          <w:tcPr>
            <w:tcW w:w="459" w:type="pct"/>
            <w:shd w:val="clear" w:color="auto" w:fill="auto"/>
            <w:tcMar>
              <w:top w:w="0" w:type="dxa"/>
              <w:bottom w:w="0" w:type="dxa"/>
            </w:tcMar>
            <w:vAlign w:val="center"/>
          </w:tcPr>
          <w:p w14:paraId="6887DF59"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1</w:t>
            </w:r>
          </w:p>
        </w:tc>
        <w:tc>
          <w:tcPr>
            <w:tcW w:w="1834" w:type="pct"/>
            <w:shd w:val="clear" w:color="auto" w:fill="auto"/>
            <w:tcMar>
              <w:top w:w="0" w:type="dxa"/>
              <w:bottom w:w="0" w:type="dxa"/>
            </w:tcMar>
            <w:vAlign w:val="center"/>
          </w:tcPr>
          <w:p w14:paraId="3F904395"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Fertilizer production output</w:t>
            </w:r>
          </w:p>
        </w:tc>
        <w:tc>
          <w:tcPr>
            <w:tcW w:w="2707" w:type="pct"/>
            <w:shd w:val="clear" w:color="auto" w:fill="auto"/>
            <w:tcMar>
              <w:top w:w="0" w:type="dxa"/>
              <w:bottom w:w="0" w:type="dxa"/>
            </w:tcMar>
            <w:vAlign w:val="center"/>
          </w:tcPr>
          <w:p w14:paraId="1C7D7456"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820,000 tons</w:t>
            </w:r>
          </w:p>
        </w:tc>
      </w:tr>
      <w:tr w:rsidR="0099412B" w:rsidRPr="0085079A" w14:paraId="7B18295E" w14:textId="77777777" w:rsidTr="00BE0B4B">
        <w:tc>
          <w:tcPr>
            <w:tcW w:w="459" w:type="pct"/>
            <w:shd w:val="clear" w:color="auto" w:fill="auto"/>
            <w:tcMar>
              <w:top w:w="0" w:type="dxa"/>
              <w:bottom w:w="0" w:type="dxa"/>
            </w:tcMar>
            <w:vAlign w:val="center"/>
          </w:tcPr>
          <w:p w14:paraId="4B8537DD"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2</w:t>
            </w:r>
          </w:p>
        </w:tc>
        <w:tc>
          <w:tcPr>
            <w:tcW w:w="1834" w:type="pct"/>
            <w:shd w:val="clear" w:color="auto" w:fill="auto"/>
            <w:tcMar>
              <w:top w:w="0" w:type="dxa"/>
              <w:bottom w:w="0" w:type="dxa"/>
            </w:tcMar>
            <w:vAlign w:val="center"/>
          </w:tcPr>
          <w:p w14:paraId="50BD076E"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Acid production output</w:t>
            </w:r>
          </w:p>
        </w:tc>
        <w:tc>
          <w:tcPr>
            <w:tcW w:w="2707" w:type="pct"/>
            <w:shd w:val="clear" w:color="auto" w:fill="auto"/>
            <w:tcMar>
              <w:top w:w="0" w:type="dxa"/>
              <w:bottom w:w="0" w:type="dxa"/>
            </w:tcMar>
            <w:vAlign w:val="center"/>
          </w:tcPr>
          <w:p w14:paraId="7ED2E13F"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143,000 tons</w:t>
            </w:r>
          </w:p>
        </w:tc>
      </w:tr>
      <w:tr w:rsidR="0099412B" w:rsidRPr="0085079A" w14:paraId="1CAE9A1F" w14:textId="77777777" w:rsidTr="00BE0B4B">
        <w:tc>
          <w:tcPr>
            <w:tcW w:w="459" w:type="pct"/>
            <w:shd w:val="clear" w:color="auto" w:fill="auto"/>
            <w:tcMar>
              <w:top w:w="0" w:type="dxa"/>
              <w:bottom w:w="0" w:type="dxa"/>
            </w:tcMar>
            <w:vAlign w:val="center"/>
          </w:tcPr>
          <w:p w14:paraId="68F7E22C"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3</w:t>
            </w:r>
          </w:p>
        </w:tc>
        <w:tc>
          <w:tcPr>
            <w:tcW w:w="1834" w:type="pct"/>
            <w:shd w:val="clear" w:color="auto" w:fill="auto"/>
            <w:tcMar>
              <w:top w:w="0" w:type="dxa"/>
              <w:bottom w:w="0" w:type="dxa"/>
            </w:tcMar>
            <w:vAlign w:val="center"/>
          </w:tcPr>
          <w:p w14:paraId="08ACA8E6"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Revenue from goods sales and service provision</w:t>
            </w:r>
          </w:p>
        </w:tc>
        <w:tc>
          <w:tcPr>
            <w:tcW w:w="2707" w:type="pct"/>
            <w:shd w:val="clear" w:color="auto" w:fill="auto"/>
            <w:tcMar>
              <w:top w:w="0" w:type="dxa"/>
              <w:bottom w:w="0" w:type="dxa"/>
            </w:tcMar>
            <w:vAlign w:val="center"/>
          </w:tcPr>
          <w:p w14:paraId="62D83D25"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VND 3,400 billion</w:t>
            </w:r>
          </w:p>
        </w:tc>
      </w:tr>
      <w:tr w:rsidR="0099412B" w:rsidRPr="0085079A" w14:paraId="0A5D3BA8" w14:textId="77777777" w:rsidTr="00BE0B4B">
        <w:tc>
          <w:tcPr>
            <w:tcW w:w="459" w:type="pct"/>
            <w:shd w:val="clear" w:color="auto" w:fill="auto"/>
            <w:tcMar>
              <w:top w:w="0" w:type="dxa"/>
              <w:bottom w:w="0" w:type="dxa"/>
            </w:tcMar>
            <w:vAlign w:val="center"/>
          </w:tcPr>
          <w:p w14:paraId="715B5D64"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4</w:t>
            </w:r>
          </w:p>
        </w:tc>
        <w:tc>
          <w:tcPr>
            <w:tcW w:w="1834" w:type="pct"/>
            <w:shd w:val="clear" w:color="auto" w:fill="auto"/>
            <w:tcMar>
              <w:top w:w="0" w:type="dxa"/>
              <w:bottom w:w="0" w:type="dxa"/>
            </w:tcMar>
            <w:vAlign w:val="center"/>
          </w:tcPr>
          <w:p w14:paraId="591AC621"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Profit before tax</w:t>
            </w:r>
          </w:p>
        </w:tc>
        <w:tc>
          <w:tcPr>
            <w:tcW w:w="2707" w:type="pct"/>
            <w:shd w:val="clear" w:color="auto" w:fill="auto"/>
            <w:tcMar>
              <w:top w:w="0" w:type="dxa"/>
              <w:bottom w:w="0" w:type="dxa"/>
            </w:tcMar>
            <w:vAlign w:val="center"/>
          </w:tcPr>
          <w:p w14:paraId="732FC31E"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VND 136 billion</w:t>
            </w:r>
          </w:p>
        </w:tc>
      </w:tr>
      <w:tr w:rsidR="0099412B" w:rsidRPr="0085079A" w14:paraId="473BB713" w14:textId="77777777" w:rsidTr="00BE0B4B">
        <w:tc>
          <w:tcPr>
            <w:tcW w:w="459" w:type="pct"/>
            <w:shd w:val="clear" w:color="auto" w:fill="auto"/>
            <w:tcMar>
              <w:top w:w="0" w:type="dxa"/>
              <w:bottom w:w="0" w:type="dxa"/>
            </w:tcMar>
            <w:vAlign w:val="center"/>
          </w:tcPr>
          <w:p w14:paraId="35C642EC"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5</w:t>
            </w:r>
          </w:p>
        </w:tc>
        <w:tc>
          <w:tcPr>
            <w:tcW w:w="1834" w:type="pct"/>
            <w:shd w:val="clear" w:color="auto" w:fill="auto"/>
            <w:tcMar>
              <w:top w:w="0" w:type="dxa"/>
              <w:bottom w:w="0" w:type="dxa"/>
            </w:tcMar>
            <w:vAlign w:val="center"/>
          </w:tcPr>
          <w:p w14:paraId="120215A1"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Payable to the state budget</w:t>
            </w:r>
          </w:p>
        </w:tc>
        <w:tc>
          <w:tcPr>
            <w:tcW w:w="2707" w:type="pct"/>
            <w:shd w:val="clear" w:color="auto" w:fill="auto"/>
            <w:tcMar>
              <w:top w:w="0" w:type="dxa"/>
              <w:bottom w:w="0" w:type="dxa"/>
            </w:tcMar>
            <w:vAlign w:val="center"/>
          </w:tcPr>
          <w:p w14:paraId="7504764F"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VND 49.505 billion</w:t>
            </w:r>
          </w:p>
        </w:tc>
      </w:tr>
      <w:tr w:rsidR="0099412B" w:rsidRPr="0085079A" w14:paraId="7813A725" w14:textId="77777777" w:rsidTr="00BE0B4B">
        <w:tc>
          <w:tcPr>
            <w:tcW w:w="459" w:type="pct"/>
            <w:shd w:val="clear" w:color="auto" w:fill="auto"/>
            <w:tcMar>
              <w:top w:w="0" w:type="dxa"/>
              <w:bottom w:w="0" w:type="dxa"/>
            </w:tcMar>
            <w:vAlign w:val="center"/>
          </w:tcPr>
          <w:p w14:paraId="58EB2FD7"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6</w:t>
            </w:r>
          </w:p>
        </w:tc>
        <w:tc>
          <w:tcPr>
            <w:tcW w:w="1834" w:type="pct"/>
            <w:shd w:val="clear" w:color="auto" w:fill="auto"/>
            <w:tcMar>
              <w:top w:w="0" w:type="dxa"/>
              <w:bottom w:w="0" w:type="dxa"/>
            </w:tcMar>
            <w:vAlign w:val="center"/>
          </w:tcPr>
          <w:p w14:paraId="51972013"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Dividends (%)</w:t>
            </w:r>
          </w:p>
        </w:tc>
        <w:tc>
          <w:tcPr>
            <w:tcW w:w="2707" w:type="pct"/>
            <w:shd w:val="clear" w:color="auto" w:fill="auto"/>
            <w:tcMar>
              <w:top w:w="0" w:type="dxa"/>
              <w:bottom w:w="0" w:type="dxa"/>
            </w:tcMar>
            <w:vAlign w:val="center"/>
          </w:tcPr>
          <w:p w14:paraId="2DB651FE" w14:textId="0355A19E" w:rsidR="0099412B" w:rsidRPr="0085079A" w:rsidRDefault="00BE0B4B" w:rsidP="00D6773C">
            <w:pPr>
              <w:numPr>
                <w:ilvl w:val="0"/>
                <w:numId w:val="3"/>
              </w:numPr>
              <w:pBdr>
                <w:top w:val="nil"/>
                <w:left w:val="nil"/>
                <w:bottom w:val="nil"/>
                <w:right w:val="nil"/>
                <w:between w:val="nil"/>
              </w:pBdr>
              <w:tabs>
                <w:tab w:val="left" w:pos="144"/>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 xml:space="preserve">The dividend </w:t>
            </w:r>
            <w:r w:rsidR="00431611" w:rsidRPr="0085079A">
              <w:rPr>
                <w:rFonts w:ascii="Arial" w:hAnsi="Arial" w:cs="Arial"/>
                <w:color w:val="010000"/>
                <w:sz w:val="20"/>
              </w:rPr>
              <w:t>rate</w:t>
            </w:r>
            <w:r w:rsidRPr="0085079A">
              <w:rPr>
                <w:rFonts w:ascii="Arial" w:hAnsi="Arial" w:cs="Arial"/>
                <w:color w:val="010000"/>
                <w:sz w:val="20"/>
              </w:rPr>
              <w:t xml:space="preserve"> in 2024 will not be lower than 6%.</w:t>
            </w:r>
          </w:p>
          <w:p w14:paraId="467455FD" w14:textId="77777777" w:rsidR="0099412B" w:rsidRPr="0085079A" w:rsidRDefault="00BE0B4B" w:rsidP="00D6773C">
            <w:pPr>
              <w:numPr>
                <w:ilvl w:val="0"/>
                <w:numId w:val="3"/>
              </w:numPr>
              <w:pBdr>
                <w:top w:val="nil"/>
                <w:left w:val="nil"/>
                <w:bottom w:val="nil"/>
                <w:right w:val="nil"/>
                <w:between w:val="nil"/>
              </w:pBdr>
              <w:tabs>
                <w:tab w:val="left" w:pos="144"/>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 xml:space="preserve">The General Meeting of Shareholders agrees on </w:t>
            </w:r>
            <w:r w:rsidRPr="0085079A">
              <w:rPr>
                <w:rFonts w:ascii="Arial" w:hAnsi="Arial" w:cs="Arial"/>
                <w:color w:val="010000"/>
                <w:sz w:val="20"/>
              </w:rPr>
              <w:lastRenderedPageBreak/>
              <w:t>authorizing the Board of Directors of the Company to decide the dividend prepayment in 2024 and make the dividend prepayment to shareholders in accordance with the Company's production and business results in the year.</w:t>
            </w:r>
          </w:p>
        </w:tc>
      </w:tr>
    </w:tbl>
    <w:p w14:paraId="25002749" w14:textId="33F100F5"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lastRenderedPageBreak/>
        <w:t xml:space="preserve">The General Meeting of Shareholders authorizes the Board of Directors of the Company to direct the implementation of production and business activities, decide on the dividend prepayment </w:t>
      </w:r>
      <w:r w:rsidR="00431611" w:rsidRPr="0085079A">
        <w:rPr>
          <w:rFonts w:ascii="Arial" w:hAnsi="Arial" w:cs="Arial"/>
          <w:color w:val="010000"/>
          <w:sz w:val="20"/>
        </w:rPr>
        <w:t xml:space="preserve">rate </w:t>
      </w:r>
      <w:r w:rsidRPr="0085079A">
        <w:rPr>
          <w:rFonts w:ascii="Arial" w:hAnsi="Arial" w:cs="Arial"/>
          <w:color w:val="010000"/>
          <w:sz w:val="20"/>
        </w:rPr>
        <w:t>in 2024 and carry out procedures for prepaying dividends to shareholders in accordance the Company's production and business results for the year.</w:t>
      </w:r>
    </w:p>
    <w:p w14:paraId="11EFE447" w14:textId="3978ECE5"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‎‎Article 8. Approve the remuneration of the Board of Directors, the Supervisory Board, the person in charge of corporate governance, and the Company</w:t>
      </w:r>
      <w:r w:rsidR="00431611" w:rsidRPr="0085079A">
        <w:rPr>
          <w:rFonts w:ascii="Arial" w:hAnsi="Arial" w:cs="Arial"/>
          <w:color w:val="010000"/>
          <w:sz w:val="20"/>
        </w:rPr>
        <w:t>’s</w:t>
      </w:r>
      <w:r w:rsidRPr="0085079A">
        <w:rPr>
          <w:rFonts w:ascii="Arial" w:hAnsi="Arial" w:cs="Arial"/>
          <w:color w:val="010000"/>
          <w:sz w:val="20"/>
        </w:rPr>
        <w:t xml:space="preserve"> Secretariat in 2023 and the Remuneration Plan for the Board of Directors and </w:t>
      </w:r>
      <w:r w:rsidR="00431611" w:rsidRPr="0085079A">
        <w:rPr>
          <w:rFonts w:ascii="Arial" w:hAnsi="Arial" w:cs="Arial"/>
          <w:color w:val="010000"/>
          <w:sz w:val="20"/>
        </w:rPr>
        <w:t xml:space="preserve">the </w:t>
      </w:r>
      <w:r w:rsidRPr="0085079A">
        <w:rPr>
          <w:rFonts w:ascii="Arial" w:hAnsi="Arial" w:cs="Arial"/>
          <w:color w:val="010000"/>
          <w:sz w:val="20"/>
        </w:rPr>
        <w:t>Supervisory Board of the Company in 2024 as follows:</w:t>
      </w:r>
    </w:p>
    <w:p w14:paraId="3B153995" w14:textId="7068FC7A" w:rsidR="0099412B" w:rsidRPr="0085079A" w:rsidRDefault="00BE0B4B" w:rsidP="00D6773C">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85079A">
        <w:rPr>
          <w:rFonts w:ascii="Arial" w:hAnsi="Arial" w:cs="Arial"/>
          <w:color w:val="010000"/>
          <w:sz w:val="20"/>
        </w:rPr>
        <w:t xml:space="preserve"> Remuneration for the Board of Directors, </w:t>
      </w:r>
      <w:r w:rsidR="00431611" w:rsidRPr="0085079A">
        <w:rPr>
          <w:rFonts w:ascii="Arial" w:hAnsi="Arial" w:cs="Arial"/>
          <w:color w:val="010000"/>
          <w:sz w:val="20"/>
        </w:rPr>
        <w:t xml:space="preserve">the </w:t>
      </w:r>
      <w:r w:rsidRPr="0085079A">
        <w:rPr>
          <w:rFonts w:ascii="Arial" w:hAnsi="Arial" w:cs="Arial"/>
          <w:color w:val="010000"/>
          <w:sz w:val="20"/>
        </w:rPr>
        <w:t xml:space="preserve">Supervisory Board, Person in charge of Corporate Governance, and </w:t>
      </w:r>
      <w:r w:rsidR="00431611" w:rsidRPr="0085079A">
        <w:rPr>
          <w:rFonts w:ascii="Arial" w:hAnsi="Arial" w:cs="Arial"/>
          <w:color w:val="010000"/>
          <w:sz w:val="20"/>
        </w:rPr>
        <w:t xml:space="preserve">the </w:t>
      </w:r>
      <w:r w:rsidRPr="0085079A">
        <w:rPr>
          <w:rFonts w:ascii="Arial" w:hAnsi="Arial" w:cs="Arial"/>
          <w:color w:val="010000"/>
          <w:sz w:val="20"/>
        </w:rPr>
        <w:t>Company</w:t>
      </w:r>
      <w:r w:rsidR="00431611" w:rsidRPr="0085079A">
        <w:rPr>
          <w:rFonts w:ascii="Arial" w:hAnsi="Arial" w:cs="Arial"/>
          <w:color w:val="010000"/>
          <w:sz w:val="20"/>
        </w:rPr>
        <w:t>’s</w:t>
      </w:r>
      <w:r w:rsidRPr="0085079A">
        <w:rPr>
          <w:rFonts w:ascii="Arial" w:hAnsi="Arial" w:cs="Arial"/>
          <w:color w:val="010000"/>
          <w:sz w:val="20"/>
        </w:rPr>
        <w:t xml:space="preserve"> Secretariat in 2023 (detailed content in the attached Proposal):</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6"/>
        <w:gridCol w:w="4911"/>
        <w:gridCol w:w="3360"/>
      </w:tblGrid>
      <w:tr w:rsidR="0099412B" w:rsidRPr="0085079A" w14:paraId="56261482" w14:textId="77777777" w:rsidTr="00BE0B4B">
        <w:tc>
          <w:tcPr>
            <w:tcW w:w="414" w:type="pct"/>
            <w:shd w:val="clear" w:color="auto" w:fill="auto"/>
            <w:tcMar>
              <w:top w:w="0" w:type="dxa"/>
              <w:bottom w:w="0" w:type="dxa"/>
            </w:tcMar>
            <w:vAlign w:val="center"/>
          </w:tcPr>
          <w:p w14:paraId="384ECF0A"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No.</w:t>
            </w:r>
          </w:p>
        </w:tc>
        <w:tc>
          <w:tcPr>
            <w:tcW w:w="2723" w:type="pct"/>
            <w:shd w:val="clear" w:color="auto" w:fill="auto"/>
            <w:tcMar>
              <w:top w:w="0" w:type="dxa"/>
              <w:bottom w:w="0" w:type="dxa"/>
            </w:tcMar>
            <w:vAlign w:val="center"/>
          </w:tcPr>
          <w:p w14:paraId="4269782B"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Full name</w:t>
            </w:r>
          </w:p>
        </w:tc>
        <w:tc>
          <w:tcPr>
            <w:tcW w:w="1863" w:type="pct"/>
            <w:shd w:val="clear" w:color="auto" w:fill="auto"/>
            <w:tcMar>
              <w:top w:w="0" w:type="dxa"/>
              <w:bottom w:w="0" w:type="dxa"/>
            </w:tcMar>
            <w:vAlign w:val="center"/>
          </w:tcPr>
          <w:p w14:paraId="6333D2AD"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Total annual remuneration (VND)</w:t>
            </w:r>
          </w:p>
        </w:tc>
      </w:tr>
      <w:tr w:rsidR="0099412B" w:rsidRPr="0085079A" w14:paraId="0629A648" w14:textId="77777777" w:rsidTr="00BE0B4B">
        <w:tc>
          <w:tcPr>
            <w:tcW w:w="414" w:type="pct"/>
            <w:shd w:val="clear" w:color="auto" w:fill="auto"/>
            <w:tcMar>
              <w:top w:w="0" w:type="dxa"/>
              <w:bottom w:w="0" w:type="dxa"/>
            </w:tcMar>
            <w:vAlign w:val="center"/>
          </w:tcPr>
          <w:p w14:paraId="0DED9B04"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1</w:t>
            </w:r>
          </w:p>
        </w:tc>
        <w:tc>
          <w:tcPr>
            <w:tcW w:w="2723" w:type="pct"/>
            <w:shd w:val="clear" w:color="auto" w:fill="auto"/>
            <w:tcMar>
              <w:top w:w="0" w:type="dxa"/>
              <w:bottom w:w="0" w:type="dxa"/>
            </w:tcMar>
            <w:vAlign w:val="center"/>
          </w:tcPr>
          <w:p w14:paraId="6F60AF7C"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The Board of Directors</w:t>
            </w:r>
          </w:p>
        </w:tc>
        <w:tc>
          <w:tcPr>
            <w:tcW w:w="1863" w:type="pct"/>
            <w:shd w:val="clear" w:color="auto" w:fill="auto"/>
            <w:tcMar>
              <w:top w:w="0" w:type="dxa"/>
              <w:bottom w:w="0" w:type="dxa"/>
            </w:tcMar>
            <w:vAlign w:val="center"/>
          </w:tcPr>
          <w:p w14:paraId="6B390960"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324,000,000</w:t>
            </w:r>
          </w:p>
        </w:tc>
      </w:tr>
      <w:tr w:rsidR="0099412B" w:rsidRPr="0085079A" w14:paraId="3BAEB260" w14:textId="77777777" w:rsidTr="00BE0B4B">
        <w:tc>
          <w:tcPr>
            <w:tcW w:w="414" w:type="pct"/>
            <w:shd w:val="clear" w:color="auto" w:fill="auto"/>
            <w:tcMar>
              <w:top w:w="0" w:type="dxa"/>
              <w:bottom w:w="0" w:type="dxa"/>
            </w:tcMar>
            <w:vAlign w:val="center"/>
          </w:tcPr>
          <w:p w14:paraId="06DCDC1F"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2</w:t>
            </w:r>
          </w:p>
        </w:tc>
        <w:tc>
          <w:tcPr>
            <w:tcW w:w="2723" w:type="pct"/>
            <w:shd w:val="clear" w:color="auto" w:fill="auto"/>
            <w:tcMar>
              <w:top w:w="0" w:type="dxa"/>
              <w:bottom w:w="0" w:type="dxa"/>
            </w:tcMar>
            <w:vAlign w:val="center"/>
          </w:tcPr>
          <w:p w14:paraId="61F53B12"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The Supervisory Board</w:t>
            </w:r>
          </w:p>
        </w:tc>
        <w:tc>
          <w:tcPr>
            <w:tcW w:w="1863" w:type="pct"/>
            <w:shd w:val="clear" w:color="auto" w:fill="auto"/>
            <w:tcMar>
              <w:top w:w="0" w:type="dxa"/>
              <w:bottom w:w="0" w:type="dxa"/>
            </w:tcMar>
            <w:vAlign w:val="center"/>
          </w:tcPr>
          <w:p w14:paraId="17E80905"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96,000,000</w:t>
            </w:r>
          </w:p>
        </w:tc>
      </w:tr>
      <w:tr w:rsidR="0099412B" w:rsidRPr="0085079A" w14:paraId="515C7AC7" w14:textId="77777777" w:rsidTr="00BE0B4B">
        <w:tc>
          <w:tcPr>
            <w:tcW w:w="414" w:type="pct"/>
            <w:shd w:val="clear" w:color="auto" w:fill="auto"/>
            <w:tcMar>
              <w:top w:w="0" w:type="dxa"/>
              <w:bottom w:w="0" w:type="dxa"/>
            </w:tcMar>
            <w:vAlign w:val="center"/>
          </w:tcPr>
          <w:p w14:paraId="37FDD123"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3</w:t>
            </w:r>
          </w:p>
        </w:tc>
        <w:tc>
          <w:tcPr>
            <w:tcW w:w="2723" w:type="pct"/>
            <w:shd w:val="clear" w:color="auto" w:fill="auto"/>
            <w:tcMar>
              <w:top w:w="0" w:type="dxa"/>
              <w:bottom w:w="0" w:type="dxa"/>
            </w:tcMar>
            <w:vAlign w:val="center"/>
          </w:tcPr>
          <w:p w14:paraId="1F4CF167"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Person in charge of corporate governance and the Company’s Secretariat</w:t>
            </w:r>
          </w:p>
        </w:tc>
        <w:tc>
          <w:tcPr>
            <w:tcW w:w="1863" w:type="pct"/>
            <w:shd w:val="clear" w:color="auto" w:fill="auto"/>
            <w:tcMar>
              <w:top w:w="0" w:type="dxa"/>
              <w:bottom w:w="0" w:type="dxa"/>
            </w:tcMar>
            <w:vAlign w:val="center"/>
          </w:tcPr>
          <w:p w14:paraId="65D5AD0B"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84,000,000</w:t>
            </w:r>
          </w:p>
        </w:tc>
      </w:tr>
      <w:tr w:rsidR="0099412B" w:rsidRPr="0085079A" w14:paraId="04D409A5" w14:textId="77777777" w:rsidTr="00BE0B4B">
        <w:tc>
          <w:tcPr>
            <w:tcW w:w="414" w:type="pct"/>
            <w:shd w:val="clear" w:color="auto" w:fill="auto"/>
            <w:tcMar>
              <w:top w:w="0" w:type="dxa"/>
              <w:bottom w:w="0" w:type="dxa"/>
            </w:tcMar>
            <w:vAlign w:val="center"/>
          </w:tcPr>
          <w:p w14:paraId="63DF00D4" w14:textId="77777777" w:rsidR="0099412B" w:rsidRPr="0085079A" w:rsidRDefault="0099412B" w:rsidP="00D6773C">
            <w:pPr>
              <w:tabs>
                <w:tab w:val="left" w:pos="450"/>
              </w:tabs>
              <w:spacing w:after="120" w:line="360" w:lineRule="auto"/>
              <w:jc w:val="both"/>
              <w:rPr>
                <w:rFonts w:ascii="Arial" w:eastAsia="Arial" w:hAnsi="Arial" w:cs="Arial"/>
                <w:color w:val="010000"/>
                <w:sz w:val="20"/>
                <w:szCs w:val="20"/>
              </w:rPr>
            </w:pPr>
          </w:p>
        </w:tc>
        <w:tc>
          <w:tcPr>
            <w:tcW w:w="2723" w:type="pct"/>
            <w:shd w:val="clear" w:color="auto" w:fill="auto"/>
            <w:tcMar>
              <w:top w:w="0" w:type="dxa"/>
              <w:bottom w:w="0" w:type="dxa"/>
            </w:tcMar>
            <w:vAlign w:val="center"/>
          </w:tcPr>
          <w:p w14:paraId="7D2FAB5D"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Total</w:t>
            </w:r>
          </w:p>
        </w:tc>
        <w:tc>
          <w:tcPr>
            <w:tcW w:w="1863" w:type="pct"/>
            <w:shd w:val="clear" w:color="auto" w:fill="auto"/>
            <w:tcMar>
              <w:top w:w="0" w:type="dxa"/>
              <w:bottom w:w="0" w:type="dxa"/>
            </w:tcMar>
            <w:vAlign w:val="center"/>
          </w:tcPr>
          <w:p w14:paraId="28CE13A2"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504,000,000</w:t>
            </w:r>
          </w:p>
        </w:tc>
      </w:tr>
    </w:tbl>
    <w:p w14:paraId="55829F9C" w14:textId="186EAC6F" w:rsidR="0099412B" w:rsidRPr="0085079A" w:rsidRDefault="00BE0B4B" w:rsidP="00D6773C">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85079A">
        <w:rPr>
          <w:rFonts w:ascii="Arial" w:hAnsi="Arial" w:cs="Arial"/>
          <w:color w:val="010000"/>
          <w:sz w:val="20"/>
        </w:rPr>
        <w:t xml:space="preserve"> Remuneration plan for the Board of Directors and </w:t>
      </w:r>
      <w:r w:rsidR="00431611" w:rsidRPr="0085079A">
        <w:rPr>
          <w:rFonts w:ascii="Arial" w:hAnsi="Arial" w:cs="Arial"/>
          <w:color w:val="010000"/>
          <w:sz w:val="20"/>
        </w:rPr>
        <w:t xml:space="preserve">the </w:t>
      </w:r>
      <w:r w:rsidRPr="0085079A">
        <w:rPr>
          <w:rFonts w:ascii="Arial" w:hAnsi="Arial" w:cs="Arial"/>
          <w:color w:val="010000"/>
          <w:sz w:val="20"/>
        </w:rPr>
        <w:t>Supervisory Board of the Company in 2024:</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3"/>
        <w:gridCol w:w="4880"/>
        <w:gridCol w:w="3344"/>
      </w:tblGrid>
      <w:tr w:rsidR="0099412B" w:rsidRPr="0085079A" w14:paraId="10FDDB70" w14:textId="77777777" w:rsidTr="00BE0B4B">
        <w:tc>
          <w:tcPr>
            <w:tcW w:w="440" w:type="pct"/>
            <w:shd w:val="clear" w:color="auto" w:fill="auto"/>
            <w:tcMar>
              <w:top w:w="0" w:type="dxa"/>
              <w:bottom w:w="0" w:type="dxa"/>
            </w:tcMar>
            <w:vAlign w:val="center"/>
          </w:tcPr>
          <w:p w14:paraId="0F320502"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No.</w:t>
            </w:r>
          </w:p>
        </w:tc>
        <w:tc>
          <w:tcPr>
            <w:tcW w:w="2706" w:type="pct"/>
            <w:shd w:val="clear" w:color="auto" w:fill="auto"/>
            <w:tcMar>
              <w:top w:w="0" w:type="dxa"/>
              <w:bottom w:w="0" w:type="dxa"/>
            </w:tcMar>
            <w:vAlign w:val="center"/>
          </w:tcPr>
          <w:p w14:paraId="0CF6CF55"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Position</w:t>
            </w:r>
          </w:p>
        </w:tc>
        <w:tc>
          <w:tcPr>
            <w:tcW w:w="1854" w:type="pct"/>
            <w:shd w:val="clear" w:color="auto" w:fill="auto"/>
            <w:tcMar>
              <w:top w:w="0" w:type="dxa"/>
              <w:bottom w:w="0" w:type="dxa"/>
            </w:tcMar>
            <w:vAlign w:val="center"/>
          </w:tcPr>
          <w:p w14:paraId="737CACCB"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Remuneration (VND/month)</w:t>
            </w:r>
          </w:p>
        </w:tc>
      </w:tr>
      <w:tr w:rsidR="0099412B" w:rsidRPr="0085079A" w14:paraId="14EAB248" w14:textId="77777777" w:rsidTr="00BE0B4B">
        <w:tc>
          <w:tcPr>
            <w:tcW w:w="440" w:type="pct"/>
            <w:shd w:val="clear" w:color="auto" w:fill="auto"/>
            <w:tcMar>
              <w:top w:w="0" w:type="dxa"/>
              <w:bottom w:w="0" w:type="dxa"/>
            </w:tcMar>
            <w:vAlign w:val="center"/>
          </w:tcPr>
          <w:p w14:paraId="75D81C8B"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1</w:t>
            </w:r>
          </w:p>
        </w:tc>
        <w:tc>
          <w:tcPr>
            <w:tcW w:w="2706" w:type="pct"/>
            <w:shd w:val="clear" w:color="auto" w:fill="auto"/>
            <w:tcMar>
              <w:top w:w="0" w:type="dxa"/>
              <w:bottom w:w="0" w:type="dxa"/>
            </w:tcMar>
            <w:vAlign w:val="center"/>
          </w:tcPr>
          <w:p w14:paraId="7ECBFDEC"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Chair of the Board of Directors</w:t>
            </w:r>
          </w:p>
        </w:tc>
        <w:tc>
          <w:tcPr>
            <w:tcW w:w="1854" w:type="pct"/>
            <w:shd w:val="clear" w:color="auto" w:fill="auto"/>
            <w:tcMar>
              <w:top w:w="0" w:type="dxa"/>
              <w:bottom w:w="0" w:type="dxa"/>
            </w:tcMar>
            <w:vAlign w:val="center"/>
          </w:tcPr>
          <w:p w14:paraId="72D949A2"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8,000,000</w:t>
            </w:r>
          </w:p>
        </w:tc>
      </w:tr>
      <w:tr w:rsidR="0099412B" w:rsidRPr="0085079A" w14:paraId="20097179" w14:textId="77777777" w:rsidTr="00BE0B4B">
        <w:tc>
          <w:tcPr>
            <w:tcW w:w="440" w:type="pct"/>
            <w:shd w:val="clear" w:color="auto" w:fill="auto"/>
            <w:tcMar>
              <w:top w:w="0" w:type="dxa"/>
              <w:bottom w:w="0" w:type="dxa"/>
            </w:tcMar>
            <w:vAlign w:val="center"/>
          </w:tcPr>
          <w:p w14:paraId="0AC63353"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2</w:t>
            </w:r>
          </w:p>
        </w:tc>
        <w:tc>
          <w:tcPr>
            <w:tcW w:w="2706" w:type="pct"/>
            <w:shd w:val="clear" w:color="auto" w:fill="auto"/>
            <w:tcMar>
              <w:top w:w="0" w:type="dxa"/>
              <w:bottom w:w="0" w:type="dxa"/>
            </w:tcMar>
            <w:vAlign w:val="center"/>
          </w:tcPr>
          <w:p w14:paraId="70ABAF59"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Member of the Board of Directors</w:t>
            </w:r>
          </w:p>
        </w:tc>
        <w:tc>
          <w:tcPr>
            <w:tcW w:w="1854" w:type="pct"/>
            <w:shd w:val="clear" w:color="auto" w:fill="auto"/>
            <w:tcMar>
              <w:top w:w="0" w:type="dxa"/>
              <w:bottom w:w="0" w:type="dxa"/>
            </w:tcMar>
            <w:vAlign w:val="center"/>
          </w:tcPr>
          <w:p w14:paraId="0572CC04"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6,500,000</w:t>
            </w:r>
          </w:p>
        </w:tc>
      </w:tr>
      <w:tr w:rsidR="0099412B" w:rsidRPr="0085079A" w14:paraId="699AA337" w14:textId="77777777" w:rsidTr="00BE0B4B">
        <w:tc>
          <w:tcPr>
            <w:tcW w:w="440" w:type="pct"/>
            <w:shd w:val="clear" w:color="auto" w:fill="auto"/>
            <w:tcMar>
              <w:top w:w="0" w:type="dxa"/>
              <w:bottom w:w="0" w:type="dxa"/>
            </w:tcMar>
            <w:vAlign w:val="center"/>
          </w:tcPr>
          <w:p w14:paraId="2552F564"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3</w:t>
            </w:r>
          </w:p>
        </w:tc>
        <w:tc>
          <w:tcPr>
            <w:tcW w:w="2706" w:type="pct"/>
            <w:shd w:val="clear" w:color="auto" w:fill="auto"/>
            <w:tcMar>
              <w:top w:w="0" w:type="dxa"/>
              <w:bottom w:w="0" w:type="dxa"/>
            </w:tcMar>
            <w:vAlign w:val="center"/>
          </w:tcPr>
          <w:p w14:paraId="7A9CCD46"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Chief of the Supervisory Board</w:t>
            </w:r>
          </w:p>
        </w:tc>
        <w:tc>
          <w:tcPr>
            <w:tcW w:w="1854" w:type="pct"/>
            <w:shd w:val="clear" w:color="auto" w:fill="auto"/>
            <w:tcMar>
              <w:top w:w="0" w:type="dxa"/>
              <w:bottom w:w="0" w:type="dxa"/>
            </w:tcMar>
            <w:vAlign w:val="center"/>
          </w:tcPr>
          <w:p w14:paraId="6C7BEF5D" w14:textId="2C5B5EE3"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 xml:space="preserve">Pay </w:t>
            </w:r>
            <w:r w:rsidR="00431611" w:rsidRPr="0085079A">
              <w:rPr>
                <w:rFonts w:ascii="Arial" w:hAnsi="Arial" w:cs="Arial"/>
                <w:color w:val="010000"/>
                <w:sz w:val="20"/>
              </w:rPr>
              <w:t xml:space="preserve">executive </w:t>
            </w:r>
            <w:r w:rsidRPr="0085079A">
              <w:rPr>
                <w:rFonts w:ascii="Arial" w:hAnsi="Arial" w:cs="Arial"/>
                <w:color w:val="010000"/>
                <w:sz w:val="20"/>
              </w:rPr>
              <w:t xml:space="preserve">salaries </w:t>
            </w:r>
          </w:p>
        </w:tc>
      </w:tr>
      <w:tr w:rsidR="0099412B" w:rsidRPr="0085079A" w14:paraId="3B2EA5BD" w14:textId="77777777" w:rsidTr="00BE0B4B">
        <w:tc>
          <w:tcPr>
            <w:tcW w:w="440" w:type="pct"/>
            <w:shd w:val="clear" w:color="auto" w:fill="auto"/>
            <w:tcMar>
              <w:top w:w="0" w:type="dxa"/>
              <w:bottom w:w="0" w:type="dxa"/>
            </w:tcMar>
            <w:vAlign w:val="center"/>
          </w:tcPr>
          <w:p w14:paraId="6C746C7D"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4</w:t>
            </w:r>
          </w:p>
        </w:tc>
        <w:tc>
          <w:tcPr>
            <w:tcW w:w="2706" w:type="pct"/>
            <w:shd w:val="clear" w:color="auto" w:fill="auto"/>
            <w:tcMar>
              <w:top w:w="0" w:type="dxa"/>
              <w:bottom w:w="0" w:type="dxa"/>
            </w:tcMar>
            <w:vAlign w:val="center"/>
          </w:tcPr>
          <w:p w14:paraId="4972ECBF"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Supervisor</w:t>
            </w:r>
          </w:p>
        </w:tc>
        <w:tc>
          <w:tcPr>
            <w:tcW w:w="1854" w:type="pct"/>
            <w:shd w:val="clear" w:color="auto" w:fill="auto"/>
            <w:tcMar>
              <w:top w:w="0" w:type="dxa"/>
              <w:bottom w:w="0" w:type="dxa"/>
            </w:tcMar>
            <w:vAlign w:val="center"/>
          </w:tcPr>
          <w:p w14:paraId="58F1469C"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5,500,000</w:t>
            </w:r>
          </w:p>
        </w:tc>
      </w:tr>
    </w:tbl>
    <w:p w14:paraId="0799200D" w14:textId="77777777"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‎‎Article 9. This General Mandate takes effect from April 11, 2024.</w:t>
      </w:r>
    </w:p>
    <w:p w14:paraId="186F44C7" w14:textId="5EE61C08" w:rsidR="0099412B" w:rsidRPr="0085079A" w:rsidRDefault="00BE0B4B" w:rsidP="00D677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5079A">
        <w:rPr>
          <w:rFonts w:ascii="Arial" w:hAnsi="Arial" w:cs="Arial"/>
          <w:color w:val="010000"/>
          <w:sz w:val="20"/>
        </w:rPr>
        <w:t>The General Meeting of Shareholders authorizes and assigns the Board of Directors of Lam Thao Fertilizers &amp; Chemicals Joint Stock Company, based on the actual situation of the Company's operations, to set out goals and measures to organize implementation. Effectively implement the contents approved by the Meeting on the basis of ensuring the highest benefits for the Company, its shareholders and in accordance with the Company's Charter of Organization and Operation and the provisions of law.</w:t>
      </w:r>
    </w:p>
    <w:sectPr w:rsidR="0099412B" w:rsidRPr="0085079A" w:rsidSect="00BE0B4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72D"/>
    <w:multiLevelType w:val="multilevel"/>
    <w:tmpl w:val="723490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D204DCB"/>
    <w:multiLevelType w:val="multilevel"/>
    <w:tmpl w:val="373C76C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A130BBC"/>
    <w:multiLevelType w:val="multilevel"/>
    <w:tmpl w:val="CCBA827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2B"/>
    <w:rsid w:val="00431611"/>
    <w:rsid w:val="0085079A"/>
    <w:rsid w:val="0099412B"/>
    <w:rsid w:val="00BE0B4B"/>
    <w:rsid w:val="00D6773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975FE"/>
  <w15:docId w15:val="{4686CEBC-636A-42D6-AEF1-A9214223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4"/>
      <w:szCs w:val="14"/>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Pr>
      <w:rFonts w:ascii="Arial" w:eastAsia="Arial" w:hAnsi="Arial" w:cs="Arial"/>
      <w:b w:val="0"/>
      <w:bCs w:val="0"/>
      <w:i/>
      <w:iCs/>
      <w:smallCaps w:val="0"/>
      <w:strike w:val="0"/>
      <w:color w:val="A84D61"/>
      <w:sz w:val="20"/>
      <w:szCs w:val="2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A84D61"/>
      <w:sz w:val="16"/>
      <w:szCs w:val="16"/>
      <w:u w:val="none"/>
    </w:rPr>
  </w:style>
  <w:style w:type="paragraph" w:styleId="BodyText">
    <w:name w:val="Body Text"/>
    <w:basedOn w:val="Normal"/>
    <w:link w:val="BodyTextChar"/>
    <w:qFormat/>
    <w:pPr>
      <w:spacing w:line="295" w:lineRule="auto"/>
      <w:ind w:firstLine="400"/>
    </w:pPr>
    <w:rPr>
      <w:rFonts w:ascii="Times New Roman" w:eastAsia="Times New Roman" w:hAnsi="Times New Roman" w:cs="Times New Roman"/>
    </w:rPr>
  </w:style>
  <w:style w:type="paragraph" w:customStyle="1" w:styleId="Bodytext30">
    <w:name w:val="Body text (3)"/>
    <w:basedOn w:val="Normal"/>
    <w:link w:val="Bodytext3"/>
    <w:pPr>
      <w:spacing w:line="305" w:lineRule="auto"/>
    </w:pPr>
    <w:rPr>
      <w:rFonts w:ascii="Arial" w:eastAsia="Arial" w:hAnsi="Arial" w:cs="Arial"/>
      <w:sz w:val="14"/>
      <w:szCs w:val="14"/>
    </w:rPr>
  </w:style>
  <w:style w:type="paragraph" w:customStyle="1" w:styleId="Bodytext20">
    <w:name w:val="Body text (2)"/>
    <w:basedOn w:val="Normal"/>
    <w:link w:val="Bodytext2"/>
    <w:pPr>
      <w:spacing w:line="257" w:lineRule="auto"/>
    </w:pPr>
    <w:rPr>
      <w:rFonts w:ascii="Arial" w:eastAsia="Arial" w:hAnsi="Arial" w:cs="Arial"/>
      <w:b/>
      <w:bCs/>
      <w:sz w:val="8"/>
      <w:szCs w:val="8"/>
    </w:rPr>
  </w:style>
  <w:style w:type="paragraph" w:customStyle="1" w:styleId="Tablecaption0">
    <w:name w:val="Table caption"/>
    <w:basedOn w:val="Normal"/>
    <w:link w:val="Tablecaption"/>
    <w:pPr>
      <w:ind w:firstLine="520"/>
    </w:pPr>
    <w:rPr>
      <w:rFonts w:ascii="Times New Roman" w:eastAsia="Times New Roman" w:hAnsi="Times New Roman" w:cs="Times New Roman"/>
    </w:rPr>
  </w:style>
  <w:style w:type="paragraph" w:customStyle="1" w:styleId="Other0">
    <w:name w:val="Other"/>
    <w:basedOn w:val="Normal"/>
    <w:link w:val="Other"/>
    <w:pPr>
      <w:spacing w:line="295" w:lineRule="auto"/>
      <w:ind w:firstLine="40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spacing w:line="266" w:lineRule="auto"/>
      <w:jc w:val="center"/>
      <w:outlineLvl w:val="1"/>
    </w:pPr>
    <w:rPr>
      <w:rFonts w:ascii="Times New Roman" w:eastAsia="Times New Roman" w:hAnsi="Times New Roman" w:cs="Times New Roman"/>
      <w:b/>
      <w:bCs/>
      <w:sz w:val="26"/>
      <w:szCs w:val="26"/>
    </w:rPr>
  </w:style>
  <w:style w:type="paragraph" w:customStyle="1" w:styleId="Bodytext50">
    <w:name w:val="Body text (5)"/>
    <w:basedOn w:val="Normal"/>
    <w:link w:val="Bodytext5"/>
    <w:pPr>
      <w:ind w:firstLine="980"/>
    </w:pPr>
    <w:rPr>
      <w:rFonts w:ascii="Arial" w:eastAsia="Arial" w:hAnsi="Arial" w:cs="Arial"/>
      <w:i/>
      <w:iCs/>
      <w:color w:val="A84D61"/>
      <w:sz w:val="20"/>
      <w:szCs w:val="20"/>
    </w:rPr>
  </w:style>
  <w:style w:type="paragraph" w:customStyle="1" w:styleId="Bodytext40">
    <w:name w:val="Body text (4)"/>
    <w:basedOn w:val="Normal"/>
    <w:link w:val="Bodytext4"/>
    <w:pPr>
      <w:ind w:firstLine="980"/>
    </w:pPr>
    <w:rPr>
      <w:rFonts w:ascii="Times New Roman" w:eastAsia="Times New Roman" w:hAnsi="Times New Roman" w:cs="Times New Roman"/>
      <w:color w:val="A84D61"/>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7qK9Bn4oBlHZBV8QncEl7R1DIQ==">CgMxLjA4AHIhMUxSdXJjMDlSSGlsM1NEZnY5VFpIQmM5aGJCMWFXTGRJ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2024-04-16T04:16:00Z</dcterms:created>
  <dcterms:modified xsi:type="dcterms:W3CDTF">2024-04-19T04:10:00Z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bf0251fb4f9004bdba3a6625d756c089bed6fbf1594b19c82a39b3e42bff2777</vt:lpwstr>
  </property>
</Properties>
</file>