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4492540" w:rsidR="00F217A7" w:rsidRPr="00DB33CF" w:rsidRDefault="007A47D7" w:rsidP="007A47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B33CF">
        <w:rPr>
          <w:rFonts w:ascii="Arial" w:hAnsi="Arial" w:cs="Arial"/>
          <w:b/>
          <w:color w:val="010000"/>
          <w:sz w:val="20"/>
        </w:rPr>
        <w:t>MKP</w:t>
      </w:r>
      <w:proofErr w:type="spellEnd"/>
      <w:r w:rsidR="00DB33CF" w:rsidRPr="00DB33CF">
        <w:rPr>
          <w:rFonts w:ascii="Arial" w:hAnsi="Arial" w:cs="Arial"/>
          <w:b/>
          <w:color w:val="010000"/>
          <w:sz w:val="20"/>
        </w:rPr>
        <w:t>:</w:t>
      </w:r>
      <w:r w:rsidRPr="00DB33CF">
        <w:rPr>
          <w:rFonts w:ascii="Arial" w:hAnsi="Arial" w:cs="Arial"/>
          <w:b/>
          <w:color w:val="010000"/>
          <w:sz w:val="20"/>
        </w:rPr>
        <w:t xml:space="preserve"> Explaining the fluctuations of separate profit and consolidated profit in 2023 (audited)</w:t>
      </w:r>
    </w:p>
    <w:p w14:paraId="1AA88FCB" w14:textId="7B35E48C" w:rsidR="007A47D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DB33CF">
        <w:rPr>
          <w:rFonts w:ascii="Arial" w:hAnsi="Arial" w:cs="Arial"/>
          <w:color w:val="010000"/>
          <w:sz w:val="20"/>
        </w:rPr>
        <w:t xml:space="preserve">On April 16, 2024, </w:t>
      </w:r>
      <w:proofErr w:type="spellStart"/>
      <w:r w:rsidRPr="00DB33CF">
        <w:rPr>
          <w:rFonts w:ascii="Arial" w:hAnsi="Arial" w:cs="Arial"/>
          <w:color w:val="010000"/>
          <w:sz w:val="20"/>
        </w:rPr>
        <w:t>Mekophar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Chemical Pharmaceutical Joint Stock Company announced Official Dispatch No. 06/</w:t>
      </w:r>
      <w:proofErr w:type="spellStart"/>
      <w:r w:rsidRPr="00DB33CF">
        <w:rPr>
          <w:rFonts w:ascii="Arial" w:hAnsi="Arial" w:cs="Arial"/>
          <w:color w:val="010000"/>
          <w:sz w:val="20"/>
        </w:rPr>
        <w:t>TKKT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on explaining the fluctuations of profit of the Separate </w:t>
      </w:r>
      <w:r w:rsidR="00DB33CF">
        <w:rPr>
          <w:rFonts w:ascii="Arial" w:hAnsi="Arial" w:cs="Arial"/>
          <w:color w:val="010000"/>
          <w:sz w:val="20"/>
        </w:rPr>
        <w:t>Financial Statements</w:t>
      </w:r>
      <w:r w:rsidRPr="00DB33CF">
        <w:rPr>
          <w:rFonts w:ascii="Arial" w:hAnsi="Arial" w:cs="Arial"/>
          <w:color w:val="010000"/>
          <w:sz w:val="20"/>
        </w:rPr>
        <w:t xml:space="preserve"> 2023 and the </w:t>
      </w:r>
      <w:r w:rsidR="00DB33CF">
        <w:rPr>
          <w:rFonts w:ascii="Arial" w:hAnsi="Arial" w:cs="Arial"/>
          <w:color w:val="010000"/>
          <w:sz w:val="20"/>
        </w:rPr>
        <w:t>Consolidated Financial Statements</w:t>
      </w:r>
      <w:r w:rsidRPr="00DB33CF">
        <w:rPr>
          <w:rFonts w:ascii="Arial" w:hAnsi="Arial" w:cs="Arial"/>
          <w:color w:val="010000"/>
          <w:sz w:val="20"/>
        </w:rPr>
        <w:t xml:space="preserve"> 2023 compared to the same period last year, as follows:</w:t>
      </w:r>
    </w:p>
    <w:p w14:paraId="00000003" w14:textId="5B70419A" w:rsidR="00F217A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33CF">
        <w:rPr>
          <w:rFonts w:ascii="Arial" w:hAnsi="Arial" w:cs="Arial"/>
          <w:color w:val="010000"/>
          <w:sz w:val="20"/>
        </w:rPr>
        <w:t xml:space="preserve">The </w:t>
      </w:r>
      <w:r w:rsidR="00DB33CF">
        <w:rPr>
          <w:rFonts w:ascii="Arial" w:hAnsi="Arial" w:cs="Arial"/>
          <w:color w:val="010000"/>
          <w:sz w:val="20"/>
        </w:rPr>
        <w:t>Financial Statements</w:t>
      </w:r>
      <w:r w:rsidRPr="00DB33CF">
        <w:rPr>
          <w:rFonts w:ascii="Arial" w:hAnsi="Arial" w:cs="Arial"/>
          <w:color w:val="010000"/>
          <w:sz w:val="20"/>
        </w:rPr>
        <w:t xml:space="preserve"> of the holding company in 2023:</w:t>
      </w:r>
    </w:p>
    <w:p w14:paraId="00000004" w14:textId="15885173" w:rsidR="00F217A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33CF">
        <w:rPr>
          <w:rFonts w:ascii="Arial" w:hAnsi="Arial" w:cs="Arial"/>
          <w:color w:val="010000"/>
          <w:sz w:val="20"/>
        </w:rPr>
        <w:t xml:space="preserve">Profit after tax in 2023 decreased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16</w:t>
      </w:r>
      <w:r w:rsidR="00DB33CF" w:rsidRPr="00DB33CF">
        <w:rPr>
          <w:rFonts w:ascii="Arial" w:hAnsi="Arial" w:cs="Arial"/>
          <w:color w:val="010000"/>
          <w:sz w:val="20"/>
        </w:rPr>
        <w:t>,</w:t>
      </w:r>
      <w:r w:rsidRPr="00DB33CF">
        <w:rPr>
          <w:rFonts w:ascii="Arial" w:hAnsi="Arial" w:cs="Arial"/>
          <w:color w:val="010000"/>
          <w:sz w:val="20"/>
        </w:rPr>
        <w:t xml:space="preserve">557,121,651, decreased by 39.7% compared to the same period last year. The reason is that the total revenue decreased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279,175,754,556, decreased by 23.8% and the </w:t>
      </w:r>
      <w:r w:rsidR="00DB33CF" w:rsidRPr="00DB33CF">
        <w:rPr>
          <w:rFonts w:ascii="Arial" w:hAnsi="Arial" w:cs="Arial"/>
          <w:color w:val="010000"/>
          <w:sz w:val="20"/>
        </w:rPr>
        <w:t>general and administrative expenses</w:t>
      </w:r>
      <w:r w:rsidRPr="00DB33CF">
        <w:rPr>
          <w:rFonts w:ascii="Arial" w:hAnsi="Arial" w:cs="Arial"/>
          <w:color w:val="010000"/>
          <w:sz w:val="20"/>
        </w:rPr>
        <w:t xml:space="preserve"> increased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23,475,545,725, equivalent to 22.5%.</w:t>
      </w:r>
    </w:p>
    <w:p w14:paraId="00000005" w14:textId="237B9414" w:rsidR="00F217A7" w:rsidRPr="00DB33CF" w:rsidRDefault="00DB33CF" w:rsidP="007A47D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Consolidated Financial Statements</w:t>
      </w:r>
      <w:r w:rsidR="007A47D7" w:rsidRPr="00DB33CF">
        <w:rPr>
          <w:rFonts w:ascii="Arial" w:hAnsi="Arial" w:cs="Arial"/>
          <w:color w:val="010000"/>
          <w:sz w:val="20"/>
        </w:rPr>
        <w:t xml:space="preserve"> 2023</w:t>
      </w:r>
    </w:p>
    <w:p w14:paraId="00000006" w14:textId="0821D221" w:rsidR="00F217A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DB33CF">
        <w:rPr>
          <w:rFonts w:ascii="Arial" w:hAnsi="Arial" w:cs="Arial"/>
          <w:color w:val="010000"/>
          <w:sz w:val="20"/>
        </w:rPr>
        <w:t xml:space="preserve">Profit after tax in 2023 decreased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16,576,797,227, equivalent to 39.8% compared to the same period last year. The reason is that the total revenue decreased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288,403,569,684, equivalent to 24.2%, while the </w:t>
      </w:r>
      <w:r w:rsidR="00DB33CF" w:rsidRPr="00DB33CF">
        <w:rPr>
          <w:rFonts w:ascii="Arial" w:hAnsi="Arial" w:cs="Arial"/>
          <w:color w:val="010000"/>
          <w:sz w:val="20"/>
        </w:rPr>
        <w:t xml:space="preserve">general and administrative expenses </w:t>
      </w:r>
      <w:r w:rsidRPr="00DB33CF">
        <w:rPr>
          <w:rFonts w:ascii="Arial" w:hAnsi="Arial" w:cs="Arial"/>
          <w:color w:val="010000"/>
          <w:sz w:val="20"/>
        </w:rPr>
        <w:t xml:space="preserve">increased by </w:t>
      </w:r>
      <w:proofErr w:type="spellStart"/>
      <w:r w:rsidRPr="00DB33CF">
        <w:rPr>
          <w:rFonts w:ascii="Arial" w:hAnsi="Arial" w:cs="Arial"/>
          <w:color w:val="010000"/>
          <w:sz w:val="20"/>
        </w:rPr>
        <w:t>VND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21,566,701,027, equivalent to 16.6%.</w:t>
      </w:r>
    </w:p>
    <w:p w14:paraId="74480CBB" w14:textId="7529786C" w:rsidR="007A47D7" w:rsidRPr="00DB33CF" w:rsidRDefault="007A47D7" w:rsidP="007A47D7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07" w14:textId="7F98BBD5" w:rsidR="00F217A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tabs>
          <w:tab w:val="left" w:pos="1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33CF">
        <w:rPr>
          <w:rFonts w:ascii="Arial" w:hAnsi="Arial" w:cs="Arial"/>
          <w:color w:val="010000"/>
          <w:sz w:val="20"/>
        </w:rPr>
        <w:t xml:space="preserve">On April 16, 2024, </w:t>
      </w:r>
      <w:proofErr w:type="spellStart"/>
      <w:r w:rsidRPr="00DB33CF">
        <w:rPr>
          <w:rFonts w:ascii="Arial" w:hAnsi="Arial" w:cs="Arial"/>
          <w:color w:val="010000"/>
          <w:sz w:val="20"/>
        </w:rPr>
        <w:t>Mekophar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Chemical Pharmaceutical Joint Stock Company announced Official Dispatch No. 07/</w:t>
      </w:r>
      <w:proofErr w:type="spellStart"/>
      <w:r w:rsidRPr="00DB33CF">
        <w:rPr>
          <w:rFonts w:ascii="Arial" w:hAnsi="Arial" w:cs="Arial"/>
          <w:color w:val="010000"/>
          <w:sz w:val="20"/>
        </w:rPr>
        <w:t>TKKT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on the delay in explaining the difference in profit after tax after the audit as follows:</w:t>
      </w:r>
    </w:p>
    <w:p w14:paraId="262846DE" w14:textId="43615078" w:rsidR="007A47D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DB33CF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DB33CF">
        <w:rPr>
          <w:rFonts w:ascii="Arial" w:hAnsi="Arial" w:cs="Arial"/>
          <w:color w:val="010000"/>
          <w:sz w:val="20"/>
        </w:rPr>
        <w:t>Mekophar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Chemical Pharmaceutical Joint Stock Company (</w:t>
      </w:r>
      <w:proofErr w:type="spellStart"/>
      <w:r w:rsidRPr="00DB33CF">
        <w:rPr>
          <w:rFonts w:ascii="Arial" w:hAnsi="Arial" w:cs="Arial"/>
          <w:color w:val="010000"/>
          <w:sz w:val="20"/>
        </w:rPr>
        <w:t>Mekophar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Company) received Official Dispatch No. 885/</w:t>
      </w:r>
      <w:proofErr w:type="spellStart"/>
      <w:r w:rsidRPr="00DB33CF">
        <w:rPr>
          <w:rFonts w:ascii="Arial" w:hAnsi="Arial" w:cs="Arial"/>
          <w:color w:val="010000"/>
          <w:sz w:val="20"/>
        </w:rPr>
        <w:t>SGDHN-QLNY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dated April 10, 2024 on explaining the delay in explanation the </w:t>
      </w:r>
      <w:r w:rsidR="00DB33CF">
        <w:rPr>
          <w:rFonts w:ascii="Arial" w:hAnsi="Arial" w:cs="Arial"/>
          <w:color w:val="010000"/>
          <w:sz w:val="20"/>
        </w:rPr>
        <w:t>Financial Statements</w:t>
      </w:r>
      <w:r w:rsidRPr="00DB33CF">
        <w:rPr>
          <w:rFonts w:ascii="Arial" w:hAnsi="Arial" w:cs="Arial"/>
          <w:color w:val="010000"/>
          <w:sz w:val="20"/>
        </w:rPr>
        <w:t xml:space="preserve"> after the audit.</w:t>
      </w:r>
    </w:p>
    <w:p w14:paraId="00000009" w14:textId="7A778D32" w:rsidR="00F217A7" w:rsidRPr="00DB33CF" w:rsidRDefault="007A47D7" w:rsidP="007A4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33CF">
        <w:rPr>
          <w:rFonts w:ascii="Arial" w:hAnsi="Arial" w:cs="Arial"/>
          <w:color w:val="010000"/>
          <w:sz w:val="20"/>
        </w:rPr>
        <w:t>Due to the lack of understanding of the content of the provisions in Clause 1, Article 7 of Circular No. 96/2020/</w:t>
      </w:r>
      <w:proofErr w:type="spellStart"/>
      <w:r w:rsidRPr="00DB33CF">
        <w:rPr>
          <w:rFonts w:ascii="Arial" w:hAnsi="Arial" w:cs="Arial"/>
          <w:color w:val="010000"/>
          <w:sz w:val="20"/>
        </w:rPr>
        <w:t>TT-BTC</w:t>
      </w:r>
      <w:proofErr w:type="spellEnd"/>
      <w:r w:rsidRPr="00DB33CF">
        <w:rPr>
          <w:rFonts w:ascii="Arial" w:hAnsi="Arial" w:cs="Arial"/>
          <w:color w:val="010000"/>
          <w:sz w:val="20"/>
        </w:rPr>
        <w:t xml:space="preserve"> dated November 16, 2020 of the Ministry of Finance, the Joint Stock Company is lacking in the explanation process after the announcement of the </w:t>
      </w:r>
      <w:r w:rsidR="00DB33CF">
        <w:rPr>
          <w:rFonts w:ascii="Arial" w:hAnsi="Arial" w:cs="Arial"/>
          <w:color w:val="010000"/>
          <w:sz w:val="20"/>
        </w:rPr>
        <w:t>Financial Statements</w:t>
      </w:r>
      <w:r w:rsidRPr="00DB33CF">
        <w:rPr>
          <w:rFonts w:ascii="Arial" w:hAnsi="Arial" w:cs="Arial"/>
          <w:color w:val="010000"/>
          <w:sz w:val="20"/>
        </w:rPr>
        <w:t xml:space="preserve"> after the audit.</w:t>
      </w:r>
    </w:p>
    <w:sectPr w:rsidR="00F217A7" w:rsidRPr="00DB33CF" w:rsidSect="007A47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A7"/>
    <w:rsid w:val="007A47D7"/>
    <w:rsid w:val="00987BD7"/>
    <w:rsid w:val="00DB33CF"/>
    <w:rsid w:val="00F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ADA95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D02221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D02221"/>
      <w:w w:val="60"/>
      <w:sz w:val="20"/>
      <w:szCs w:val="2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02221"/>
      <w:sz w:val="32"/>
      <w:szCs w:val="32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color w:val="D02221"/>
      <w:sz w:val="18"/>
      <w:szCs w:val="1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D02221"/>
      <w:w w:val="60"/>
      <w:sz w:val="20"/>
      <w:szCs w:val="20"/>
    </w:rPr>
  </w:style>
  <w:style w:type="paragraph" w:customStyle="1" w:styleId="Tiu30">
    <w:name w:val="Tiêu đề #3"/>
    <w:basedOn w:val="Normal"/>
    <w:link w:val="Tiu3"/>
    <w:pPr>
      <w:spacing w:line="350" w:lineRule="auto"/>
      <w:ind w:left="2400" w:hanging="740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4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u20">
    <w:name w:val="Tiêu đề #2"/>
    <w:basedOn w:val="Normal"/>
    <w:link w:val="Tiu2"/>
    <w:pPr>
      <w:ind w:left="1760" w:firstLine="2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i/>
      <w:iCs/>
      <w:color w:val="D02221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ysVsGCiTya1STRDSxgnGQrIUdQ==">CgMxLjAyCGguZ2pkZ3hzOAByITFSNWtLcXVTMjZrbE9DS1ZvOG1tQ1hTOUtJZXhKQmVhRw==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2024-04-19T03:36:00Z</dcterms:created>
  <dcterms:modified xsi:type="dcterms:W3CDTF">2024-04-19T03:36:00Z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5a51a485cef88925505d0450ecb9fc7ca9bd96cf4c40ab910d2394e251daa8ba</vt:lpwstr>
  </property>
</Properties>
</file>