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6498" w:rsidRPr="00DE2DBE" w:rsidRDefault="00073F73" w:rsidP="005C7B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E2DBE">
        <w:rPr>
          <w:rFonts w:ascii="Arial" w:hAnsi="Arial" w:cs="Arial"/>
          <w:b/>
          <w:color w:val="010000"/>
          <w:sz w:val="20"/>
        </w:rPr>
        <w:t>NTH: Board Resolution</w:t>
      </w:r>
    </w:p>
    <w:p w14:paraId="00000002" w14:textId="77777777" w:rsidR="001A6498" w:rsidRPr="00DE2DBE" w:rsidRDefault="00073F73" w:rsidP="005C7B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2DBE">
        <w:rPr>
          <w:rFonts w:ascii="Arial" w:hAnsi="Arial" w:cs="Arial"/>
          <w:color w:val="010000"/>
          <w:sz w:val="20"/>
        </w:rPr>
        <w:t>On April 16, 2024, Nuoc trong Hydro-Power Joint Stock Company announced Resolution No. 15/2024/NQ-HDQT as follows:</w:t>
      </w:r>
    </w:p>
    <w:p w14:paraId="00000003" w14:textId="60DADFE6" w:rsidR="001A6498" w:rsidRPr="00DE2DBE" w:rsidRDefault="00073F73" w:rsidP="005C7B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2DBE">
        <w:rPr>
          <w:rFonts w:ascii="Arial" w:hAnsi="Arial" w:cs="Arial"/>
          <w:color w:val="010000"/>
          <w:sz w:val="20"/>
        </w:rPr>
        <w:t xml:space="preserve">Article 1: Approve </w:t>
      </w:r>
      <w:r w:rsidR="004752D6" w:rsidRPr="00DE2DBE">
        <w:rPr>
          <w:rFonts w:ascii="Arial" w:hAnsi="Arial" w:cs="Arial"/>
          <w:color w:val="010000"/>
          <w:sz w:val="20"/>
        </w:rPr>
        <w:t xml:space="preserve">the </w:t>
      </w:r>
      <w:r w:rsidRPr="00DE2DBE">
        <w:rPr>
          <w:rFonts w:ascii="Arial" w:hAnsi="Arial" w:cs="Arial"/>
          <w:color w:val="010000"/>
          <w:sz w:val="20"/>
        </w:rPr>
        <w:t>selecti</w:t>
      </w:r>
      <w:r w:rsidR="004752D6" w:rsidRPr="00DE2DBE">
        <w:rPr>
          <w:rFonts w:ascii="Arial" w:hAnsi="Arial" w:cs="Arial"/>
          <w:color w:val="010000"/>
          <w:sz w:val="20"/>
        </w:rPr>
        <w:t>on of</w:t>
      </w:r>
      <w:r w:rsidRPr="00DE2DBE">
        <w:rPr>
          <w:rFonts w:ascii="Arial" w:hAnsi="Arial" w:cs="Arial"/>
          <w:color w:val="010000"/>
          <w:sz w:val="20"/>
        </w:rPr>
        <w:t xml:space="preserve"> AAC Auditing and Accounting Company Limited to be the </w:t>
      </w:r>
      <w:r w:rsidR="004752D6" w:rsidRPr="00DE2DBE">
        <w:rPr>
          <w:rFonts w:ascii="Arial" w:hAnsi="Arial" w:cs="Arial"/>
          <w:color w:val="010000"/>
          <w:sz w:val="20"/>
        </w:rPr>
        <w:t>audit company</w:t>
      </w:r>
      <w:r w:rsidRPr="00DE2DBE">
        <w:rPr>
          <w:rFonts w:ascii="Arial" w:hAnsi="Arial" w:cs="Arial"/>
          <w:color w:val="010000"/>
          <w:sz w:val="20"/>
        </w:rPr>
        <w:t xml:space="preserve"> to review the Semi-annual Financial Statements 2024 and the Financial Statements 2024.</w:t>
      </w:r>
    </w:p>
    <w:p w14:paraId="00000004" w14:textId="3DE004F4" w:rsidR="001A6498" w:rsidRPr="00DE2DBE" w:rsidRDefault="00073F73" w:rsidP="005C7B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2DBE">
        <w:rPr>
          <w:rFonts w:ascii="Arial" w:hAnsi="Arial" w:cs="Arial"/>
          <w:color w:val="010000"/>
          <w:sz w:val="20"/>
        </w:rPr>
        <w:t xml:space="preserve">Article 2: </w:t>
      </w:r>
      <w:r w:rsidR="004752D6" w:rsidRPr="00DE2DBE">
        <w:rPr>
          <w:rFonts w:ascii="Arial" w:hAnsi="Arial" w:cs="Arial"/>
          <w:color w:val="010000"/>
          <w:sz w:val="20"/>
        </w:rPr>
        <w:t xml:space="preserve">The </w:t>
      </w:r>
      <w:r w:rsidRPr="00DE2DBE">
        <w:rPr>
          <w:rFonts w:ascii="Arial" w:hAnsi="Arial" w:cs="Arial"/>
          <w:color w:val="010000"/>
          <w:sz w:val="20"/>
        </w:rPr>
        <w:t>Chair of the Board of Directors and the Manager</w:t>
      </w:r>
      <w:r w:rsidR="004752D6" w:rsidRPr="00DE2DBE">
        <w:rPr>
          <w:rFonts w:ascii="Arial" w:hAnsi="Arial" w:cs="Arial"/>
          <w:color w:val="010000"/>
          <w:sz w:val="20"/>
        </w:rPr>
        <w:t xml:space="preserve"> of the Company</w:t>
      </w:r>
      <w:r w:rsidRPr="00DE2DBE">
        <w:rPr>
          <w:rFonts w:ascii="Arial" w:hAnsi="Arial" w:cs="Arial"/>
          <w:color w:val="010000"/>
          <w:sz w:val="20"/>
        </w:rPr>
        <w:t xml:space="preserve"> direct related individuals and departments to implement this Resolution</w:t>
      </w:r>
    </w:p>
    <w:p w14:paraId="00000005" w14:textId="52B90CE6" w:rsidR="001A6498" w:rsidRPr="00DE2DBE" w:rsidRDefault="00073F73" w:rsidP="005C7B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2DBE">
        <w:rPr>
          <w:rFonts w:ascii="Arial" w:hAnsi="Arial" w:cs="Arial"/>
          <w:color w:val="010000"/>
          <w:sz w:val="20"/>
        </w:rPr>
        <w:t xml:space="preserve">This Board Resolution takes effect </w:t>
      </w:r>
      <w:r w:rsidR="004752D6" w:rsidRPr="00DE2DBE">
        <w:rPr>
          <w:rFonts w:ascii="Arial" w:hAnsi="Arial" w:cs="Arial"/>
          <w:color w:val="010000"/>
          <w:sz w:val="20"/>
        </w:rPr>
        <w:t>from</w:t>
      </w:r>
      <w:r w:rsidRPr="00DE2DBE">
        <w:rPr>
          <w:rFonts w:ascii="Arial" w:hAnsi="Arial" w:cs="Arial"/>
          <w:color w:val="010000"/>
          <w:sz w:val="20"/>
        </w:rPr>
        <w:t xml:space="preserve"> the date of its signing.</w:t>
      </w:r>
      <w:bookmarkEnd w:id="0"/>
    </w:p>
    <w:sectPr w:rsidR="001A6498" w:rsidRPr="00DE2DBE" w:rsidSect="00C870A6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8"/>
    <w:rsid w:val="00073F73"/>
    <w:rsid w:val="001A6498"/>
    <w:rsid w:val="004752D6"/>
    <w:rsid w:val="005C7B87"/>
    <w:rsid w:val="00C870A6"/>
    <w:rsid w:val="00D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38107"/>
  <w15:docId w15:val="{46353E82-A2C3-4861-A7D7-40CF028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B1019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EB1019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WZ2jkZO7I+D1Sso6VawnLCNZcg==">CgMxLjA4AHIhMVA4WEtEUmVCeVpfMVIyMWE5bkMxOFFuSGM1UkFrdnZw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5</cp:revision>
  <dcterms:created xsi:type="dcterms:W3CDTF">2024-04-17T05:04:00Z</dcterms:created>
  <dcterms:modified xsi:type="dcterms:W3CDTF">2024-04-19T04:10:00Z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b4427385fc3515938382d7fbf0eb39c6afd383191bfb7c93a7f6f08a99eec90e</vt:lpwstr>
  </property>
</Properties>
</file>