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C37EA" w14:textId="77777777" w:rsidR="00BC146E" w:rsidRPr="003F55D7" w:rsidRDefault="0077680B" w:rsidP="0077680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3F55D7">
        <w:rPr>
          <w:rFonts w:ascii="Arial" w:hAnsi="Arial" w:cs="Arial"/>
          <w:b/>
          <w:color w:val="010000"/>
          <w:sz w:val="20"/>
        </w:rPr>
        <w:t>NTW</w:t>
      </w:r>
      <w:proofErr w:type="spellEnd"/>
      <w:r w:rsidRPr="003F55D7">
        <w:rPr>
          <w:rFonts w:ascii="Arial" w:hAnsi="Arial" w:cs="Arial"/>
          <w:b/>
          <w:color w:val="010000"/>
          <w:sz w:val="20"/>
        </w:rPr>
        <w:t>: Annual General Mandate 2024</w:t>
      </w:r>
    </w:p>
    <w:p w14:paraId="6769DEE0" w14:textId="5F957642" w:rsidR="00BC146E" w:rsidRPr="003F55D7" w:rsidRDefault="0077680B" w:rsidP="0077680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55D7">
        <w:rPr>
          <w:rFonts w:ascii="Arial" w:hAnsi="Arial" w:cs="Arial"/>
          <w:color w:val="010000"/>
          <w:sz w:val="20"/>
        </w:rPr>
        <w:t xml:space="preserve">On April 11, 2024, </w:t>
      </w:r>
      <w:proofErr w:type="spellStart"/>
      <w:r w:rsidRPr="003F55D7">
        <w:rPr>
          <w:rFonts w:ascii="Arial" w:hAnsi="Arial" w:cs="Arial"/>
          <w:color w:val="010000"/>
          <w:sz w:val="20"/>
        </w:rPr>
        <w:t>Nhon</w:t>
      </w:r>
      <w:proofErr w:type="spellEnd"/>
      <w:r w:rsidRPr="003F55D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3F55D7">
        <w:rPr>
          <w:rFonts w:ascii="Arial" w:hAnsi="Arial" w:cs="Arial"/>
          <w:color w:val="010000"/>
          <w:sz w:val="20"/>
        </w:rPr>
        <w:t>Trach</w:t>
      </w:r>
      <w:proofErr w:type="spellEnd"/>
      <w:r w:rsidRPr="003F55D7">
        <w:rPr>
          <w:rFonts w:ascii="Arial" w:hAnsi="Arial" w:cs="Arial"/>
          <w:color w:val="010000"/>
          <w:sz w:val="20"/>
        </w:rPr>
        <w:t xml:space="preserve"> Water Supply Joint Stock Company announced General Mandate No. 01/2024/NQ-</w:t>
      </w:r>
      <w:proofErr w:type="spellStart"/>
      <w:r w:rsidR="003F55D7" w:rsidRPr="003F55D7">
        <w:rPr>
          <w:rFonts w:ascii="Arial" w:hAnsi="Arial" w:cs="Arial"/>
          <w:color w:val="010000"/>
          <w:sz w:val="20"/>
        </w:rPr>
        <w:t>D</w:t>
      </w:r>
      <w:r w:rsidRPr="003F55D7">
        <w:rPr>
          <w:rFonts w:ascii="Arial" w:hAnsi="Arial" w:cs="Arial"/>
          <w:color w:val="010000"/>
          <w:sz w:val="20"/>
        </w:rPr>
        <w:t>HDCD</w:t>
      </w:r>
      <w:proofErr w:type="spellEnd"/>
      <w:r w:rsidRPr="003F55D7">
        <w:rPr>
          <w:rFonts w:ascii="Arial" w:hAnsi="Arial" w:cs="Arial"/>
          <w:color w:val="010000"/>
          <w:sz w:val="20"/>
        </w:rPr>
        <w:t>-</w:t>
      </w:r>
      <w:proofErr w:type="spellStart"/>
      <w:r w:rsidRPr="003F55D7">
        <w:rPr>
          <w:rFonts w:ascii="Arial" w:hAnsi="Arial" w:cs="Arial"/>
          <w:color w:val="010000"/>
          <w:sz w:val="20"/>
        </w:rPr>
        <w:t>NTW</w:t>
      </w:r>
      <w:proofErr w:type="spellEnd"/>
      <w:r w:rsidRPr="003F55D7">
        <w:rPr>
          <w:rFonts w:ascii="Arial" w:hAnsi="Arial" w:cs="Arial"/>
          <w:color w:val="010000"/>
          <w:sz w:val="20"/>
        </w:rPr>
        <w:t xml:space="preserve"> as follows:</w:t>
      </w:r>
    </w:p>
    <w:p w14:paraId="63983388" w14:textId="4241E399" w:rsidR="00BC146E" w:rsidRPr="003F55D7" w:rsidRDefault="0077680B" w:rsidP="0077680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55D7">
        <w:rPr>
          <w:rFonts w:ascii="Arial" w:hAnsi="Arial" w:cs="Arial"/>
          <w:color w:val="010000"/>
          <w:sz w:val="20"/>
        </w:rPr>
        <w:t xml:space="preserve">Article 1: </w:t>
      </w:r>
      <w:proofErr w:type="spellStart"/>
      <w:r w:rsidRPr="003F55D7">
        <w:rPr>
          <w:rFonts w:ascii="Arial" w:hAnsi="Arial" w:cs="Arial"/>
          <w:color w:val="010000"/>
          <w:sz w:val="20"/>
        </w:rPr>
        <w:t>Nhon</w:t>
      </w:r>
      <w:proofErr w:type="spellEnd"/>
      <w:r w:rsidRPr="003F55D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3F55D7">
        <w:rPr>
          <w:rFonts w:ascii="Arial" w:hAnsi="Arial" w:cs="Arial"/>
          <w:color w:val="010000"/>
          <w:sz w:val="20"/>
        </w:rPr>
        <w:t>Trach</w:t>
      </w:r>
      <w:proofErr w:type="spellEnd"/>
      <w:r w:rsidRPr="003F55D7">
        <w:rPr>
          <w:rFonts w:ascii="Arial" w:hAnsi="Arial" w:cs="Arial"/>
          <w:color w:val="010000"/>
          <w:sz w:val="20"/>
        </w:rPr>
        <w:t xml:space="preserve"> Water Supply Joint Stock Company’s Annual </w:t>
      </w:r>
      <w:r w:rsidR="003F55D7" w:rsidRPr="003F55D7">
        <w:rPr>
          <w:rFonts w:ascii="Arial" w:hAnsi="Arial" w:cs="Arial"/>
          <w:color w:val="010000"/>
          <w:sz w:val="20"/>
        </w:rPr>
        <w:t>General Meeting of Shareholders</w:t>
      </w:r>
      <w:r w:rsidRPr="003F55D7">
        <w:rPr>
          <w:rFonts w:ascii="Arial" w:hAnsi="Arial" w:cs="Arial"/>
          <w:color w:val="010000"/>
          <w:sz w:val="20"/>
        </w:rPr>
        <w:t xml:space="preserve"> 2024 voted to approve the following contents:</w:t>
      </w:r>
    </w:p>
    <w:p w14:paraId="60FDC16B" w14:textId="77777777" w:rsidR="00BC146E" w:rsidRPr="003F55D7" w:rsidRDefault="0077680B" w:rsidP="007768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F55D7">
        <w:rPr>
          <w:rFonts w:ascii="Arial" w:hAnsi="Arial" w:cs="Arial"/>
          <w:color w:val="010000"/>
          <w:sz w:val="20"/>
        </w:rPr>
        <w:t>Approve the production and business results in 2023 and the production and business plan for 2024</w:t>
      </w:r>
    </w:p>
    <w:p w14:paraId="01F21DFC" w14:textId="77777777" w:rsidR="00BC146E" w:rsidRPr="003F55D7" w:rsidRDefault="0077680B" w:rsidP="0077680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F55D7">
        <w:rPr>
          <w:rFonts w:ascii="Arial" w:hAnsi="Arial" w:cs="Arial"/>
          <w:color w:val="010000"/>
          <w:sz w:val="20"/>
        </w:rPr>
        <w:t>Production and business results in 2023: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31"/>
        <w:gridCol w:w="2998"/>
        <w:gridCol w:w="2103"/>
        <w:gridCol w:w="2112"/>
        <w:gridCol w:w="1273"/>
      </w:tblGrid>
      <w:tr w:rsidR="00BC146E" w:rsidRPr="003F55D7" w14:paraId="0F100D7D" w14:textId="77777777" w:rsidTr="0077680B">
        <w:tc>
          <w:tcPr>
            <w:tcW w:w="2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75068B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6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88CC9A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11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1E1313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Plan</w:t>
            </w:r>
          </w:p>
        </w:tc>
        <w:tc>
          <w:tcPr>
            <w:tcW w:w="11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CEA5A7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Result</w:t>
            </w:r>
          </w:p>
        </w:tc>
        <w:tc>
          <w:tcPr>
            <w:tcW w:w="7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B5EB48" w14:textId="4D2C41F2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Rate of Result</w:t>
            </w:r>
            <w:r w:rsidR="003F55D7" w:rsidRPr="003F55D7">
              <w:rPr>
                <w:rFonts w:ascii="Arial" w:hAnsi="Arial" w:cs="Arial"/>
                <w:color w:val="010000"/>
                <w:sz w:val="20"/>
              </w:rPr>
              <w:t>s</w:t>
            </w:r>
            <w:r w:rsidRPr="003F55D7">
              <w:rPr>
                <w:rFonts w:ascii="Arial" w:hAnsi="Arial" w:cs="Arial"/>
                <w:color w:val="010000"/>
                <w:sz w:val="20"/>
              </w:rPr>
              <w:t>/Plan (%)</w:t>
            </w:r>
          </w:p>
        </w:tc>
      </w:tr>
      <w:tr w:rsidR="00BC146E" w:rsidRPr="003F55D7" w14:paraId="3DAAB530" w14:textId="77777777" w:rsidTr="0077680B">
        <w:tc>
          <w:tcPr>
            <w:tcW w:w="2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E23033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6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6012C9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11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BD5F0B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160,555,000,000</w:t>
            </w:r>
          </w:p>
        </w:tc>
        <w:tc>
          <w:tcPr>
            <w:tcW w:w="11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F4016A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152,508,016,052</w:t>
            </w:r>
          </w:p>
        </w:tc>
        <w:tc>
          <w:tcPr>
            <w:tcW w:w="7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E70B55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94.99</w:t>
            </w:r>
          </w:p>
        </w:tc>
      </w:tr>
      <w:tr w:rsidR="00BC146E" w:rsidRPr="003F55D7" w14:paraId="21C46817" w14:textId="77777777" w:rsidTr="0077680B">
        <w:tc>
          <w:tcPr>
            <w:tcW w:w="2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F5CF33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6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1AAC6B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11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557D5B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11,287,000,000</w:t>
            </w:r>
          </w:p>
        </w:tc>
        <w:tc>
          <w:tcPr>
            <w:tcW w:w="11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B6E8E5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10,601,605,672</w:t>
            </w:r>
          </w:p>
        </w:tc>
        <w:tc>
          <w:tcPr>
            <w:tcW w:w="7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11750D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93.93</w:t>
            </w:r>
          </w:p>
        </w:tc>
      </w:tr>
      <w:tr w:rsidR="00BC146E" w:rsidRPr="003F55D7" w14:paraId="6C31FEC8" w14:textId="77777777" w:rsidTr="0077680B">
        <w:tc>
          <w:tcPr>
            <w:tcW w:w="2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D9F148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6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0A1019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1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189116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9,671,000,000</w:t>
            </w:r>
          </w:p>
        </w:tc>
        <w:tc>
          <w:tcPr>
            <w:tcW w:w="11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82B229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9,012,210,397</w:t>
            </w:r>
          </w:p>
        </w:tc>
        <w:tc>
          <w:tcPr>
            <w:tcW w:w="7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F9BF70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93.19</w:t>
            </w:r>
          </w:p>
        </w:tc>
      </w:tr>
      <w:tr w:rsidR="00BC146E" w:rsidRPr="003F55D7" w14:paraId="0F0AB488" w14:textId="77777777" w:rsidTr="0077680B">
        <w:tc>
          <w:tcPr>
            <w:tcW w:w="2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08295A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6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2754B6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Payables to the State budget</w:t>
            </w:r>
          </w:p>
        </w:tc>
        <w:tc>
          <w:tcPr>
            <w:tcW w:w="11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E99CFD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2,872,000,000</w:t>
            </w:r>
          </w:p>
        </w:tc>
        <w:tc>
          <w:tcPr>
            <w:tcW w:w="11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386BB4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2,837,761,819</w:t>
            </w:r>
          </w:p>
        </w:tc>
        <w:tc>
          <w:tcPr>
            <w:tcW w:w="7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88B167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98.8</w:t>
            </w:r>
          </w:p>
        </w:tc>
      </w:tr>
      <w:tr w:rsidR="00BC146E" w:rsidRPr="003F55D7" w14:paraId="22FA9318" w14:textId="77777777" w:rsidTr="0077680B">
        <w:tc>
          <w:tcPr>
            <w:tcW w:w="2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BC7F67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6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705C85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Capital construction investment</w:t>
            </w:r>
          </w:p>
        </w:tc>
        <w:tc>
          <w:tcPr>
            <w:tcW w:w="11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9A4CCF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13,785,077,528</w:t>
            </w:r>
          </w:p>
        </w:tc>
        <w:tc>
          <w:tcPr>
            <w:tcW w:w="11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8169A8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4,830,693,000</w:t>
            </w:r>
          </w:p>
        </w:tc>
        <w:tc>
          <w:tcPr>
            <w:tcW w:w="7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BF1E4F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35.04</w:t>
            </w:r>
          </w:p>
        </w:tc>
      </w:tr>
      <w:tr w:rsidR="00BC146E" w:rsidRPr="003F55D7" w14:paraId="7CA8F533" w14:textId="77777777" w:rsidTr="0077680B">
        <w:tc>
          <w:tcPr>
            <w:tcW w:w="2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79A42" w14:textId="35EABECD" w:rsidR="00BC146E" w:rsidRPr="003F55D7" w:rsidRDefault="0077680B" w:rsidP="003F5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6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B592F9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Loss rate</w:t>
            </w:r>
          </w:p>
        </w:tc>
        <w:tc>
          <w:tcPr>
            <w:tcW w:w="11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D41F62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6.5</w:t>
            </w:r>
          </w:p>
        </w:tc>
        <w:tc>
          <w:tcPr>
            <w:tcW w:w="11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C4E611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7.94</w:t>
            </w:r>
          </w:p>
        </w:tc>
        <w:tc>
          <w:tcPr>
            <w:tcW w:w="7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BAF07D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1.44</w:t>
            </w:r>
          </w:p>
        </w:tc>
      </w:tr>
    </w:tbl>
    <w:p w14:paraId="78D3A73A" w14:textId="77777777" w:rsidR="00BC146E" w:rsidRPr="003F55D7" w:rsidRDefault="0077680B" w:rsidP="0077680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F55D7">
        <w:rPr>
          <w:rFonts w:ascii="Arial" w:hAnsi="Arial" w:cs="Arial"/>
          <w:color w:val="010000"/>
          <w:sz w:val="20"/>
        </w:rPr>
        <w:t>Production and business plan for 2024: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10"/>
        <w:gridCol w:w="5091"/>
        <w:gridCol w:w="1241"/>
        <w:gridCol w:w="1975"/>
      </w:tblGrid>
      <w:tr w:rsidR="00BC146E" w:rsidRPr="003F55D7" w14:paraId="790618D3" w14:textId="77777777" w:rsidTr="0077680B">
        <w:tc>
          <w:tcPr>
            <w:tcW w:w="3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C34617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8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64E175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6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2A1E12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0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D066D6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2024 Plan</w:t>
            </w:r>
          </w:p>
        </w:tc>
      </w:tr>
      <w:tr w:rsidR="00BC146E" w:rsidRPr="003F55D7" w14:paraId="2399262D" w14:textId="77777777" w:rsidTr="0077680B">
        <w:tc>
          <w:tcPr>
            <w:tcW w:w="3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F344DE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8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A60059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Revenue</w:t>
            </w:r>
          </w:p>
        </w:tc>
        <w:tc>
          <w:tcPr>
            <w:tcW w:w="6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680802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3F55D7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</w:p>
        </w:tc>
        <w:tc>
          <w:tcPr>
            <w:tcW w:w="10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081EFB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156,312,000,000</w:t>
            </w:r>
          </w:p>
        </w:tc>
      </w:tr>
      <w:tr w:rsidR="00BC146E" w:rsidRPr="003F55D7" w14:paraId="2E542C0C" w14:textId="77777777" w:rsidTr="0077680B">
        <w:tc>
          <w:tcPr>
            <w:tcW w:w="3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5A5F85" w14:textId="77777777" w:rsidR="00BC146E" w:rsidRPr="003F55D7" w:rsidRDefault="00BC146E" w:rsidP="0077680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0F3C9F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- Water revenue</w:t>
            </w:r>
          </w:p>
        </w:tc>
        <w:tc>
          <w:tcPr>
            <w:tcW w:w="6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95684A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3F55D7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</w:p>
        </w:tc>
        <w:tc>
          <w:tcPr>
            <w:tcW w:w="10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CED87E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150,462,000,000</w:t>
            </w:r>
          </w:p>
        </w:tc>
      </w:tr>
      <w:tr w:rsidR="00BC146E" w:rsidRPr="003F55D7" w14:paraId="789783AB" w14:textId="77777777" w:rsidTr="0077680B">
        <w:tc>
          <w:tcPr>
            <w:tcW w:w="3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2A8CC4" w14:textId="77777777" w:rsidR="00BC146E" w:rsidRPr="003F55D7" w:rsidRDefault="00BC146E" w:rsidP="0077680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67352F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- Revenue from construction and installation</w:t>
            </w:r>
          </w:p>
        </w:tc>
        <w:tc>
          <w:tcPr>
            <w:tcW w:w="6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704131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3F55D7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</w:p>
        </w:tc>
        <w:tc>
          <w:tcPr>
            <w:tcW w:w="10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81A4AE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2,500,000,000</w:t>
            </w:r>
          </w:p>
        </w:tc>
      </w:tr>
      <w:tr w:rsidR="00BC146E" w:rsidRPr="003F55D7" w14:paraId="3181700B" w14:textId="77777777" w:rsidTr="0077680B">
        <w:tc>
          <w:tcPr>
            <w:tcW w:w="3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A33CDE" w14:textId="77777777" w:rsidR="00BC146E" w:rsidRPr="003F55D7" w:rsidRDefault="00BC146E" w:rsidP="0077680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62F353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- Revenue from financial contracts</w:t>
            </w:r>
          </w:p>
        </w:tc>
        <w:tc>
          <w:tcPr>
            <w:tcW w:w="6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1DBFD1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3F55D7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</w:p>
        </w:tc>
        <w:tc>
          <w:tcPr>
            <w:tcW w:w="10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54C11E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2,500,000,000</w:t>
            </w:r>
          </w:p>
        </w:tc>
      </w:tr>
      <w:tr w:rsidR="00BC146E" w:rsidRPr="003F55D7" w14:paraId="49C6E416" w14:textId="77777777" w:rsidTr="0077680B">
        <w:tc>
          <w:tcPr>
            <w:tcW w:w="3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B42F29" w14:textId="77777777" w:rsidR="00BC146E" w:rsidRPr="003F55D7" w:rsidRDefault="00BC146E" w:rsidP="0077680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821795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- Other revenues</w:t>
            </w:r>
          </w:p>
        </w:tc>
        <w:tc>
          <w:tcPr>
            <w:tcW w:w="6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CF60E1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3F55D7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</w:p>
        </w:tc>
        <w:tc>
          <w:tcPr>
            <w:tcW w:w="10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C488F4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850,000,000</w:t>
            </w:r>
          </w:p>
        </w:tc>
      </w:tr>
      <w:tr w:rsidR="00BC146E" w:rsidRPr="003F55D7" w14:paraId="57471268" w14:textId="77777777" w:rsidTr="0077680B">
        <w:tc>
          <w:tcPr>
            <w:tcW w:w="3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290C1C" w14:textId="77777777" w:rsidR="00BC146E" w:rsidRPr="003F55D7" w:rsidRDefault="0077680B" w:rsidP="0077680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8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C2927F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6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7AE396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3F55D7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</w:p>
        </w:tc>
        <w:tc>
          <w:tcPr>
            <w:tcW w:w="10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79B5FB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11,085,000,000</w:t>
            </w:r>
          </w:p>
        </w:tc>
      </w:tr>
      <w:tr w:rsidR="00BC146E" w:rsidRPr="003F55D7" w14:paraId="18FC0787" w14:textId="77777777" w:rsidTr="0077680B">
        <w:tc>
          <w:tcPr>
            <w:tcW w:w="3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9A10C6" w14:textId="77777777" w:rsidR="00BC146E" w:rsidRPr="003F55D7" w:rsidRDefault="0077680B" w:rsidP="0077680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8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825279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6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A2BDEE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3F55D7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</w:p>
        </w:tc>
        <w:tc>
          <w:tcPr>
            <w:tcW w:w="10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5D225D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9,727,000,000</w:t>
            </w:r>
          </w:p>
        </w:tc>
      </w:tr>
      <w:tr w:rsidR="00BC146E" w:rsidRPr="003F55D7" w14:paraId="71E66E36" w14:textId="77777777" w:rsidTr="0077680B">
        <w:tc>
          <w:tcPr>
            <w:tcW w:w="3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B9934C" w14:textId="77777777" w:rsidR="00BC146E" w:rsidRPr="003F55D7" w:rsidRDefault="0077680B" w:rsidP="0077680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8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548880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Payables to the State budget</w:t>
            </w:r>
          </w:p>
        </w:tc>
        <w:tc>
          <w:tcPr>
            <w:tcW w:w="6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0571B0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3F55D7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</w:p>
        </w:tc>
        <w:tc>
          <w:tcPr>
            <w:tcW w:w="10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E748F4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2,783,000,000</w:t>
            </w:r>
          </w:p>
        </w:tc>
      </w:tr>
      <w:tr w:rsidR="00BC146E" w:rsidRPr="003F55D7" w14:paraId="134006A4" w14:textId="77777777" w:rsidTr="0077680B">
        <w:tc>
          <w:tcPr>
            <w:tcW w:w="3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1F08F3" w14:textId="77777777" w:rsidR="00BC146E" w:rsidRPr="003F55D7" w:rsidRDefault="0077680B" w:rsidP="0077680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28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A72B85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Capital construction investment</w:t>
            </w:r>
          </w:p>
        </w:tc>
        <w:tc>
          <w:tcPr>
            <w:tcW w:w="6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3D4D9A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3F55D7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</w:p>
        </w:tc>
        <w:tc>
          <w:tcPr>
            <w:tcW w:w="10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D7074E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22,000,000,000</w:t>
            </w:r>
          </w:p>
        </w:tc>
      </w:tr>
      <w:tr w:rsidR="00BC146E" w:rsidRPr="003F55D7" w14:paraId="3353E7D1" w14:textId="77777777" w:rsidTr="0077680B">
        <w:tc>
          <w:tcPr>
            <w:tcW w:w="3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4B8A1D" w14:textId="77777777" w:rsidR="00BC146E" w:rsidRPr="003F55D7" w:rsidRDefault="0077680B" w:rsidP="0077680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28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FE276A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Loss rate</w:t>
            </w:r>
          </w:p>
        </w:tc>
        <w:tc>
          <w:tcPr>
            <w:tcW w:w="6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3B0624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10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677DDB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</w:tr>
    </w:tbl>
    <w:p w14:paraId="34F10BAD" w14:textId="395D5901" w:rsidR="00BC146E" w:rsidRPr="003F55D7" w:rsidRDefault="0077680B" w:rsidP="007768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55D7">
        <w:rPr>
          <w:rFonts w:ascii="Arial" w:hAnsi="Arial" w:cs="Arial"/>
          <w:color w:val="010000"/>
          <w:sz w:val="20"/>
        </w:rPr>
        <w:t xml:space="preserve">Approve the Company’s </w:t>
      </w:r>
      <w:r w:rsidR="003F55D7" w:rsidRPr="003F55D7">
        <w:rPr>
          <w:rFonts w:ascii="Arial" w:hAnsi="Arial" w:cs="Arial"/>
          <w:color w:val="010000"/>
          <w:sz w:val="20"/>
        </w:rPr>
        <w:t>Audited Financial Statements</w:t>
      </w:r>
      <w:r w:rsidRPr="003F55D7">
        <w:rPr>
          <w:rFonts w:ascii="Arial" w:hAnsi="Arial" w:cs="Arial"/>
          <w:color w:val="010000"/>
          <w:sz w:val="20"/>
        </w:rPr>
        <w:t xml:space="preserve"> 2023 audited by </w:t>
      </w:r>
      <w:proofErr w:type="spellStart"/>
      <w:r w:rsidRPr="003F55D7">
        <w:rPr>
          <w:rFonts w:ascii="Arial" w:hAnsi="Arial" w:cs="Arial"/>
          <w:color w:val="010000"/>
          <w:sz w:val="20"/>
        </w:rPr>
        <w:t>A&amp;C</w:t>
      </w:r>
      <w:proofErr w:type="spellEnd"/>
      <w:r w:rsidRPr="003F55D7">
        <w:rPr>
          <w:rFonts w:ascii="Arial" w:hAnsi="Arial" w:cs="Arial"/>
          <w:color w:val="010000"/>
          <w:sz w:val="20"/>
        </w:rPr>
        <w:t xml:space="preserve"> Auditing And Consulting Company Limited.</w:t>
      </w:r>
    </w:p>
    <w:p w14:paraId="1E59C204" w14:textId="77777777" w:rsidR="00BC146E" w:rsidRPr="003F55D7" w:rsidRDefault="0077680B" w:rsidP="007768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55D7">
        <w:rPr>
          <w:rFonts w:ascii="Arial" w:hAnsi="Arial" w:cs="Arial"/>
          <w:color w:val="010000"/>
          <w:sz w:val="20"/>
        </w:rPr>
        <w:lastRenderedPageBreak/>
        <w:t>Approve the Report on the governance and operational results of the Board of Directors and each member of it in 2023 and the operating plan for 2024.</w:t>
      </w:r>
    </w:p>
    <w:p w14:paraId="7474E8F2" w14:textId="09A688CE" w:rsidR="00BC146E" w:rsidRPr="003F55D7" w:rsidRDefault="0077680B" w:rsidP="007768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55D7">
        <w:rPr>
          <w:rFonts w:ascii="Arial" w:hAnsi="Arial" w:cs="Arial"/>
          <w:color w:val="010000"/>
          <w:sz w:val="20"/>
        </w:rPr>
        <w:t xml:space="preserve">Approve the Supervisory Board’s Report on the Company’s activities; the activity supervision of </w:t>
      </w:r>
      <w:r w:rsidR="003F55D7" w:rsidRPr="003F55D7">
        <w:rPr>
          <w:rFonts w:ascii="Arial" w:hAnsi="Arial" w:cs="Arial"/>
          <w:color w:val="010000"/>
          <w:sz w:val="20"/>
        </w:rPr>
        <w:t xml:space="preserve">the </w:t>
      </w:r>
      <w:r w:rsidRPr="003F55D7">
        <w:rPr>
          <w:rFonts w:ascii="Arial" w:hAnsi="Arial" w:cs="Arial"/>
          <w:color w:val="010000"/>
          <w:sz w:val="20"/>
        </w:rPr>
        <w:t>Board of Directors and Board of Managers in 2023; Report on the self-assessment of the Supervisory Board and each member of it in 2023.</w:t>
      </w:r>
    </w:p>
    <w:p w14:paraId="44196F6B" w14:textId="77777777" w:rsidR="00BC146E" w:rsidRPr="003F55D7" w:rsidRDefault="0077680B" w:rsidP="007768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55D7">
        <w:rPr>
          <w:rFonts w:ascii="Arial" w:hAnsi="Arial" w:cs="Arial"/>
          <w:color w:val="010000"/>
          <w:sz w:val="20"/>
        </w:rPr>
        <w:t>Approve the plan on profit distribution, appropriation for funds and dividend payment in 2023; the plan on profit distribution, appropriation for funds and dividend payment in 2024.</w:t>
      </w:r>
    </w:p>
    <w:p w14:paraId="1ED43E1B" w14:textId="77777777" w:rsidR="00BC146E" w:rsidRPr="003F55D7" w:rsidRDefault="0077680B" w:rsidP="0077680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55D7">
        <w:rPr>
          <w:rFonts w:ascii="Arial" w:hAnsi="Arial" w:cs="Arial"/>
          <w:color w:val="010000"/>
          <w:sz w:val="20"/>
        </w:rPr>
        <w:t>Plan on profit distribution, dividend payment, appropriation for funds in 2023.</w:t>
      </w:r>
    </w:p>
    <w:p w14:paraId="4F5F4A4E" w14:textId="77777777" w:rsidR="00BC146E" w:rsidRPr="003F55D7" w:rsidRDefault="0077680B" w:rsidP="0077680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55D7">
        <w:rPr>
          <w:rFonts w:ascii="Arial" w:hAnsi="Arial" w:cs="Arial"/>
          <w:color w:val="010000"/>
          <w:sz w:val="20"/>
        </w:rPr>
        <w:t xml:space="preserve">Unit: </w:t>
      </w:r>
      <w:proofErr w:type="spellStart"/>
      <w:r w:rsidRPr="003F55D7">
        <w:rPr>
          <w:rFonts w:ascii="Arial" w:hAnsi="Arial" w:cs="Arial"/>
          <w:color w:val="010000"/>
          <w:sz w:val="20"/>
        </w:rPr>
        <w:t>VND</w:t>
      </w:r>
      <w:proofErr w:type="spellEnd"/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65"/>
        <w:gridCol w:w="5349"/>
        <w:gridCol w:w="842"/>
        <w:gridCol w:w="2261"/>
      </w:tblGrid>
      <w:tr w:rsidR="00BC146E" w:rsidRPr="003F55D7" w14:paraId="62D51830" w14:textId="77777777" w:rsidTr="0077680B">
        <w:tc>
          <w:tcPr>
            <w:tcW w:w="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B26A88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9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AD8EDD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4E9B9D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12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B49C18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Amount</w:t>
            </w:r>
          </w:p>
        </w:tc>
      </w:tr>
      <w:tr w:rsidR="00BC146E" w:rsidRPr="003F55D7" w14:paraId="69580C57" w14:textId="77777777" w:rsidTr="0077680B">
        <w:tc>
          <w:tcPr>
            <w:tcW w:w="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0DD09E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9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08F572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Charter capital</w:t>
            </w:r>
          </w:p>
        </w:tc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BCEB29" w14:textId="77777777" w:rsidR="00BC146E" w:rsidRPr="003F55D7" w:rsidRDefault="00BC146E" w:rsidP="0077680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964814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100,000,000,00</w:t>
            </w:r>
          </w:p>
        </w:tc>
      </w:tr>
      <w:tr w:rsidR="00BC146E" w:rsidRPr="003F55D7" w14:paraId="7A334CBA" w14:textId="77777777" w:rsidTr="0077680B">
        <w:tc>
          <w:tcPr>
            <w:tcW w:w="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DE6714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9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2565AB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Total distributed profit after tax</w:t>
            </w:r>
          </w:p>
        </w:tc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BA579E" w14:textId="77777777" w:rsidR="00BC146E" w:rsidRPr="003F55D7" w:rsidRDefault="00BC146E" w:rsidP="0077680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C0240A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9,012,210,397</w:t>
            </w:r>
          </w:p>
        </w:tc>
      </w:tr>
      <w:tr w:rsidR="00BC146E" w:rsidRPr="003F55D7" w14:paraId="5157441D" w14:textId="77777777" w:rsidTr="0077680B">
        <w:tc>
          <w:tcPr>
            <w:tcW w:w="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136526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9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1C13BD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Appropriation for funds</w:t>
            </w:r>
          </w:p>
        </w:tc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2DDE3A" w14:textId="77777777" w:rsidR="00BC146E" w:rsidRPr="003F55D7" w:rsidRDefault="00BC146E" w:rsidP="0077680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B3231F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2,976,707,327</w:t>
            </w:r>
          </w:p>
        </w:tc>
      </w:tr>
      <w:tr w:rsidR="00BC146E" w:rsidRPr="003F55D7" w14:paraId="0674C853" w14:textId="77777777" w:rsidTr="0077680B">
        <w:tc>
          <w:tcPr>
            <w:tcW w:w="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DCDD16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a</w:t>
            </w:r>
          </w:p>
        </w:tc>
        <w:tc>
          <w:tcPr>
            <w:tcW w:w="29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1A5296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Investment and development fund</w:t>
            </w:r>
          </w:p>
        </w:tc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DF03CF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20%</w:t>
            </w:r>
          </w:p>
        </w:tc>
        <w:tc>
          <w:tcPr>
            <w:tcW w:w="12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A1E256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1,802,442,079</w:t>
            </w:r>
          </w:p>
        </w:tc>
      </w:tr>
      <w:tr w:rsidR="00BC146E" w:rsidRPr="003F55D7" w14:paraId="740F0306" w14:textId="77777777" w:rsidTr="0077680B">
        <w:tc>
          <w:tcPr>
            <w:tcW w:w="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35CBC7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b</w:t>
            </w:r>
          </w:p>
        </w:tc>
        <w:tc>
          <w:tcPr>
            <w:tcW w:w="29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D770E7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Bonus and welfare fund</w:t>
            </w:r>
          </w:p>
        </w:tc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131F10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11%</w:t>
            </w:r>
          </w:p>
        </w:tc>
        <w:tc>
          <w:tcPr>
            <w:tcW w:w="12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9B9E27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991,343,144</w:t>
            </w:r>
          </w:p>
        </w:tc>
      </w:tr>
      <w:tr w:rsidR="00BC146E" w:rsidRPr="003F55D7" w14:paraId="7D5B6337" w14:textId="77777777" w:rsidTr="0077680B">
        <w:tc>
          <w:tcPr>
            <w:tcW w:w="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F3FA9B" w14:textId="77777777" w:rsidR="00BC146E" w:rsidRPr="003F55D7" w:rsidRDefault="00BC146E" w:rsidP="0077680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E20F35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- Bonus fund</w:t>
            </w:r>
          </w:p>
        </w:tc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6E4AAF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3%</w:t>
            </w:r>
          </w:p>
        </w:tc>
        <w:tc>
          <w:tcPr>
            <w:tcW w:w="12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33DABD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270,366,312</w:t>
            </w:r>
          </w:p>
        </w:tc>
      </w:tr>
      <w:tr w:rsidR="00BC146E" w:rsidRPr="003F55D7" w14:paraId="13CF38D1" w14:textId="77777777" w:rsidTr="0077680B">
        <w:tc>
          <w:tcPr>
            <w:tcW w:w="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FA3E06" w14:textId="77777777" w:rsidR="00BC146E" w:rsidRPr="003F55D7" w:rsidRDefault="00BC146E" w:rsidP="0077680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2A4E8F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- Welfare fund</w:t>
            </w:r>
          </w:p>
        </w:tc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14B0BE" w14:textId="77777777" w:rsidR="00BC146E" w:rsidRPr="003F55D7" w:rsidRDefault="00BC146E" w:rsidP="0077680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CD5F55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720,976,832</w:t>
            </w:r>
          </w:p>
        </w:tc>
      </w:tr>
      <w:tr w:rsidR="00BC146E" w:rsidRPr="003F55D7" w14:paraId="5BD05A85" w14:textId="77777777" w:rsidTr="0077680B">
        <w:tc>
          <w:tcPr>
            <w:tcW w:w="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C363D9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c</w:t>
            </w:r>
          </w:p>
        </w:tc>
        <w:tc>
          <w:tcPr>
            <w:tcW w:w="29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DA3EF7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Community social work fund</w:t>
            </w:r>
          </w:p>
        </w:tc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AE8058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1%</w:t>
            </w:r>
          </w:p>
        </w:tc>
        <w:tc>
          <w:tcPr>
            <w:tcW w:w="12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7E780D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90,122,104</w:t>
            </w:r>
          </w:p>
        </w:tc>
      </w:tr>
      <w:tr w:rsidR="00BC146E" w:rsidRPr="003F55D7" w14:paraId="6B7BC8DA" w14:textId="77777777" w:rsidTr="0077680B">
        <w:tc>
          <w:tcPr>
            <w:tcW w:w="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2D8B50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d</w:t>
            </w:r>
          </w:p>
        </w:tc>
        <w:tc>
          <w:tcPr>
            <w:tcW w:w="29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466496" w14:textId="70D59451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Bonus fund for managers (</w:t>
            </w:r>
            <w:r w:rsidR="003F55D7" w:rsidRPr="003F55D7">
              <w:rPr>
                <w:rFonts w:ascii="Arial" w:hAnsi="Arial" w:cs="Arial"/>
                <w:color w:val="010000"/>
                <w:sz w:val="20"/>
              </w:rPr>
              <w:t>1-month</w:t>
            </w:r>
            <w:r w:rsidRPr="003F55D7">
              <w:rPr>
                <w:rFonts w:ascii="Arial" w:hAnsi="Arial" w:cs="Arial"/>
                <w:color w:val="010000"/>
                <w:sz w:val="20"/>
              </w:rPr>
              <w:t xml:space="preserve"> average realized salary of managers)</w:t>
            </w:r>
          </w:p>
        </w:tc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8DB73E" w14:textId="77777777" w:rsidR="00BC146E" w:rsidRPr="003F55D7" w:rsidRDefault="00BC146E" w:rsidP="0077680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BB9CD0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92,800,000</w:t>
            </w:r>
          </w:p>
        </w:tc>
      </w:tr>
      <w:tr w:rsidR="00BC146E" w:rsidRPr="003F55D7" w14:paraId="787CF347" w14:textId="77777777" w:rsidTr="0077680B">
        <w:tc>
          <w:tcPr>
            <w:tcW w:w="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D5459D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9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DC5999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Remaining profit after the appropriation for funds</w:t>
            </w:r>
          </w:p>
        </w:tc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6619F3" w14:textId="77777777" w:rsidR="00BC146E" w:rsidRPr="003F55D7" w:rsidRDefault="00BC146E" w:rsidP="0077680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FE512D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6,035,503,070</w:t>
            </w:r>
          </w:p>
        </w:tc>
      </w:tr>
      <w:tr w:rsidR="00BC146E" w:rsidRPr="003F55D7" w14:paraId="49A345E5" w14:textId="77777777" w:rsidTr="0077680B">
        <w:tc>
          <w:tcPr>
            <w:tcW w:w="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8DD304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29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E533C5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Remaining profit transferred from the previous years</w:t>
            </w:r>
          </w:p>
        </w:tc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FFD505" w14:textId="77777777" w:rsidR="00BC146E" w:rsidRPr="003F55D7" w:rsidRDefault="00BC146E" w:rsidP="0077680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9C1375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22,978,240,223</w:t>
            </w:r>
          </w:p>
        </w:tc>
      </w:tr>
      <w:tr w:rsidR="00BC146E" w:rsidRPr="003F55D7" w14:paraId="22D375C7" w14:textId="77777777" w:rsidTr="0077680B">
        <w:tc>
          <w:tcPr>
            <w:tcW w:w="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BD4C98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29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3013FF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Total remaining profit</w:t>
            </w:r>
          </w:p>
        </w:tc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7C00FE" w14:textId="77777777" w:rsidR="00BC146E" w:rsidRPr="003F55D7" w:rsidRDefault="00BC146E" w:rsidP="0077680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3EE491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29,013,743,293</w:t>
            </w:r>
          </w:p>
        </w:tc>
      </w:tr>
      <w:tr w:rsidR="00BC146E" w:rsidRPr="003F55D7" w14:paraId="7840E9A5" w14:textId="77777777" w:rsidTr="0077680B">
        <w:tc>
          <w:tcPr>
            <w:tcW w:w="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5A2ABC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29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26472A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Dividend payment/charter capital (%)</w:t>
            </w:r>
          </w:p>
        </w:tc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84DA11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10%</w:t>
            </w:r>
          </w:p>
        </w:tc>
        <w:tc>
          <w:tcPr>
            <w:tcW w:w="12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AEA6C6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10,000,000,000</w:t>
            </w:r>
          </w:p>
        </w:tc>
      </w:tr>
      <w:tr w:rsidR="00BC146E" w:rsidRPr="003F55D7" w14:paraId="4B4E095C" w14:textId="77777777" w:rsidTr="0077680B">
        <w:tc>
          <w:tcPr>
            <w:tcW w:w="3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505879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29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5F0BC6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Remaining profit transferred to 2024</w:t>
            </w:r>
          </w:p>
        </w:tc>
        <w:tc>
          <w:tcPr>
            <w:tcW w:w="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538178" w14:textId="77777777" w:rsidR="00BC146E" w:rsidRPr="003F55D7" w:rsidRDefault="00BC146E" w:rsidP="0077680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9AD0EE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19,013,743,293</w:t>
            </w:r>
          </w:p>
        </w:tc>
      </w:tr>
    </w:tbl>
    <w:p w14:paraId="0BC9F288" w14:textId="77777777" w:rsidR="00BC146E" w:rsidRPr="003F55D7" w:rsidRDefault="0077680B" w:rsidP="0077680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55D7">
        <w:rPr>
          <w:rFonts w:ascii="Arial" w:hAnsi="Arial" w:cs="Arial"/>
          <w:color w:val="010000"/>
          <w:sz w:val="20"/>
        </w:rPr>
        <w:t>(*) Assign the Board of Directors to organize the dividend payment in 2023.</w:t>
      </w:r>
    </w:p>
    <w:p w14:paraId="5D69F24B" w14:textId="77777777" w:rsidR="00BC146E" w:rsidRPr="003F55D7" w:rsidRDefault="0077680B" w:rsidP="0077680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55D7">
        <w:rPr>
          <w:rFonts w:ascii="Arial" w:hAnsi="Arial" w:cs="Arial"/>
          <w:color w:val="010000"/>
          <w:sz w:val="20"/>
        </w:rPr>
        <w:t xml:space="preserve">Plan on profit distribution, dividend payment, appropriation for funds in 2024. </w:t>
      </w:r>
    </w:p>
    <w:p w14:paraId="44810B80" w14:textId="77777777" w:rsidR="00BC146E" w:rsidRPr="003F55D7" w:rsidRDefault="0077680B" w:rsidP="0077680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right"/>
        <w:rPr>
          <w:rFonts w:ascii="Arial" w:eastAsia="Arial" w:hAnsi="Arial" w:cs="Arial"/>
          <w:color w:val="010000"/>
          <w:sz w:val="20"/>
          <w:szCs w:val="20"/>
        </w:rPr>
      </w:pPr>
      <w:r w:rsidRPr="003F55D7">
        <w:rPr>
          <w:rFonts w:ascii="Arial" w:hAnsi="Arial" w:cs="Arial"/>
          <w:color w:val="010000"/>
          <w:sz w:val="20"/>
        </w:rPr>
        <w:t xml:space="preserve">Unit: </w:t>
      </w:r>
      <w:proofErr w:type="spellStart"/>
      <w:r w:rsidRPr="003F55D7">
        <w:rPr>
          <w:rFonts w:ascii="Arial" w:hAnsi="Arial" w:cs="Arial"/>
          <w:color w:val="010000"/>
          <w:sz w:val="20"/>
        </w:rPr>
        <w:t>VND</w:t>
      </w:r>
      <w:proofErr w:type="spellEnd"/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59"/>
        <w:gridCol w:w="5264"/>
        <w:gridCol w:w="835"/>
        <w:gridCol w:w="2359"/>
      </w:tblGrid>
      <w:tr w:rsidR="00BC146E" w:rsidRPr="003F55D7" w14:paraId="2813523D" w14:textId="77777777" w:rsidTr="0077680B">
        <w:tc>
          <w:tcPr>
            <w:tcW w:w="3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A308B1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9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9123F2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4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1CFD37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13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2AFC06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Amount</w:t>
            </w:r>
          </w:p>
        </w:tc>
      </w:tr>
      <w:tr w:rsidR="00BC146E" w:rsidRPr="003F55D7" w14:paraId="0C9AB2DF" w14:textId="77777777" w:rsidTr="0077680B">
        <w:tc>
          <w:tcPr>
            <w:tcW w:w="3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46C2C2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9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AA42BA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Charter capital</w:t>
            </w:r>
          </w:p>
        </w:tc>
        <w:tc>
          <w:tcPr>
            <w:tcW w:w="4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CEA087" w14:textId="77777777" w:rsidR="00BC146E" w:rsidRPr="003F55D7" w:rsidRDefault="00BC146E" w:rsidP="0077680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F13568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100,000,000,000</w:t>
            </w:r>
          </w:p>
        </w:tc>
      </w:tr>
      <w:tr w:rsidR="00BC146E" w:rsidRPr="003F55D7" w14:paraId="09541367" w14:textId="77777777" w:rsidTr="0077680B">
        <w:tc>
          <w:tcPr>
            <w:tcW w:w="3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CCD18E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29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90056F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Total distributed profit after tax:</w:t>
            </w:r>
          </w:p>
        </w:tc>
        <w:tc>
          <w:tcPr>
            <w:tcW w:w="4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2D4CCA" w14:textId="77777777" w:rsidR="00BC146E" w:rsidRPr="003F55D7" w:rsidRDefault="00BC146E" w:rsidP="0077680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E7B694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9727.000.000</w:t>
            </w:r>
          </w:p>
        </w:tc>
      </w:tr>
      <w:tr w:rsidR="00BC146E" w:rsidRPr="003F55D7" w14:paraId="59B5EB04" w14:textId="77777777" w:rsidTr="0077680B">
        <w:tc>
          <w:tcPr>
            <w:tcW w:w="3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78FC67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9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77FF25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Appropriation for funds</w:t>
            </w:r>
          </w:p>
        </w:tc>
        <w:tc>
          <w:tcPr>
            <w:tcW w:w="4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83EE81" w14:textId="77777777" w:rsidR="00BC146E" w:rsidRPr="003F55D7" w:rsidRDefault="00BC146E" w:rsidP="0077680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61B051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3,252,300,000</w:t>
            </w:r>
          </w:p>
        </w:tc>
      </w:tr>
      <w:tr w:rsidR="00BC146E" w:rsidRPr="003F55D7" w14:paraId="1142CCC5" w14:textId="77777777" w:rsidTr="0077680B">
        <w:tc>
          <w:tcPr>
            <w:tcW w:w="3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05DF41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a</w:t>
            </w:r>
          </w:p>
        </w:tc>
        <w:tc>
          <w:tcPr>
            <w:tcW w:w="29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52A28C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Investment and development fund</w:t>
            </w:r>
          </w:p>
        </w:tc>
        <w:tc>
          <w:tcPr>
            <w:tcW w:w="4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3297D9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20%</w:t>
            </w:r>
          </w:p>
        </w:tc>
        <w:tc>
          <w:tcPr>
            <w:tcW w:w="13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F82225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1,945,400,000</w:t>
            </w:r>
          </w:p>
        </w:tc>
      </w:tr>
      <w:tr w:rsidR="00BC146E" w:rsidRPr="003F55D7" w14:paraId="1617CD31" w14:textId="77777777" w:rsidTr="0077680B">
        <w:tc>
          <w:tcPr>
            <w:tcW w:w="3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B667A0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b</w:t>
            </w:r>
          </w:p>
        </w:tc>
        <w:tc>
          <w:tcPr>
            <w:tcW w:w="29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B23898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Bonus and welfare fund</w:t>
            </w:r>
          </w:p>
        </w:tc>
        <w:tc>
          <w:tcPr>
            <w:tcW w:w="4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320666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11%</w:t>
            </w:r>
          </w:p>
        </w:tc>
        <w:tc>
          <w:tcPr>
            <w:tcW w:w="13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2C2F1B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1,069,970,000</w:t>
            </w:r>
          </w:p>
        </w:tc>
      </w:tr>
      <w:tr w:rsidR="00BC146E" w:rsidRPr="003F55D7" w14:paraId="0B4B78F4" w14:textId="77777777" w:rsidTr="0077680B">
        <w:tc>
          <w:tcPr>
            <w:tcW w:w="3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2794FD" w14:textId="77777777" w:rsidR="00BC146E" w:rsidRPr="003F55D7" w:rsidRDefault="00BC146E" w:rsidP="0077680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8B6CA0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- Bonus fund</w:t>
            </w:r>
          </w:p>
        </w:tc>
        <w:tc>
          <w:tcPr>
            <w:tcW w:w="4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D3113D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3%</w:t>
            </w:r>
          </w:p>
        </w:tc>
        <w:tc>
          <w:tcPr>
            <w:tcW w:w="13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492634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291,810,000</w:t>
            </w:r>
          </w:p>
        </w:tc>
      </w:tr>
      <w:tr w:rsidR="00BC146E" w:rsidRPr="003F55D7" w14:paraId="29B8315D" w14:textId="77777777" w:rsidTr="0077680B">
        <w:tc>
          <w:tcPr>
            <w:tcW w:w="3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6BD6DF" w14:textId="77777777" w:rsidR="00BC146E" w:rsidRPr="003F55D7" w:rsidRDefault="00BC146E" w:rsidP="0077680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1F059F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- Welfare fund</w:t>
            </w:r>
          </w:p>
        </w:tc>
        <w:tc>
          <w:tcPr>
            <w:tcW w:w="4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279215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8%</w:t>
            </w:r>
          </w:p>
        </w:tc>
        <w:tc>
          <w:tcPr>
            <w:tcW w:w="13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1C09FF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778,160,000</w:t>
            </w:r>
          </w:p>
        </w:tc>
      </w:tr>
      <w:tr w:rsidR="00BC146E" w:rsidRPr="003F55D7" w14:paraId="1E2AB60C" w14:textId="77777777" w:rsidTr="0077680B">
        <w:tc>
          <w:tcPr>
            <w:tcW w:w="3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4A7954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c</w:t>
            </w:r>
          </w:p>
        </w:tc>
        <w:tc>
          <w:tcPr>
            <w:tcW w:w="29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1D5C5D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Community social work fund</w:t>
            </w:r>
          </w:p>
        </w:tc>
        <w:tc>
          <w:tcPr>
            <w:tcW w:w="4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6D3540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1%</w:t>
            </w:r>
          </w:p>
        </w:tc>
        <w:tc>
          <w:tcPr>
            <w:tcW w:w="13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A0AD72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97,270,000</w:t>
            </w:r>
          </w:p>
        </w:tc>
      </w:tr>
      <w:tr w:rsidR="00BC146E" w:rsidRPr="003F55D7" w14:paraId="1A2392EB" w14:textId="77777777" w:rsidTr="0077680B">
        <w:tc>
          <w:tcPr>
            <w:tcW w:w="3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96B6B6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d</w:t>
            </w:r>
          </w:p>
        </w:tc>
        <w:tc>
          <w:tcPr>
            <w:tcW w:w="29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EC417B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Bonus fund for managers (1.5 month average planned salary of managers)</w:t>
            </w:r>
          </w:p>
        </w:tc>
        <w:tc>
          <w:tcPr>
            <w:tcW w:w="4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98CB99" w14:textId="77777777" w:rsidR="00BC146E" w:rsidRPr="003F55D7" w:rsidRDefault="00BC146E" w:rsidP="0077680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C78419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139,660,000</w:t>
            </w:r>
          </w:p>
        </w:tc>
      </w:tr>
      <w:tr w:rsidR="00BC146E" w:rsidRPr="003F55D7" w14:paraId="06C07B61" w14:textId="77777777" w:rsidTr="0077680B">
        <w:tc>
          <w:tcPr>
            <w:tcW w:w="3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C80122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9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E0654B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Remaining profit after the appropriation for funds</w:t>
            </w:r>
          </w:p>
        </w:tc>
        <w:tc>
          <w:tcPr>
            <w:tcW w:w="4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9AD652" w14:textId="77777777" w:rsidR="00BC146E" w:rsidRPr="003F55D7" w:rsidRDefault="00BC146E" w:rsidP="0077680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1CED18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6,474,700,000</w:t>
            </w:r>
          </w:p>
        </w:tc>
      </w:tr>
      <w:tr w:rsidR="00BC146E" w:rsidRPr="003F55D7" w14:paraId="1803B89A" w14:textId="77777777" w:rsidTr="0077680B">
        <w:tc>
          <w:tcPr>
            <w:tcW w:w="3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49DA8F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29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525AC5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Remaining profit transferred from the previous years</w:t>
            </w:r>
          </w:p>
        </w:tc>
        <w:tc>
          <w:tcPr>
            <w:tcW w:w="4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710198" w14:textId="77777777" w:rsidR="00BC146E" w:rsidRPr="003F55D7" w:rsidRDefault="00BC146E" w:rsidP="0077680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570FBE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19,013,743,293</w:t>
            </w:r>
          </w:p>
        </w:tc>
      </w:tr>
      <w:tr w:rsidR="00BC146E" w:rsidRPr="003F55D7" w14:paraId="68AA2C29" w14:textId="77777777" w:rsidTr="0077680B">
        <w:tc>
          <w:tcPr>
            <w:tcW w:w="3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CDB7D9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29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12D9BF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Total remaining profit</w:t>
            </w:r>
          </w:p>
        </w:tc>
        <w:tc>
          <w:tcPr>
            <w:tcW w:w="4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384D06" w14:textId="77777777" w:rsidR="00BC146E" w:rsidRPr="003F55D7" w:rsidRDefault="00BC146E" w:rsidP="0077680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FDAD1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25,488,443,293</w:t>
            </w:r>
          </w:p>
        </w:tc>
      </w:tr>
      <w:tr w:rsidR="00BC146E" w:rsidRPr="003F55D7" w14:paraId="26B7AF79" w14:textId="77777777" w:rsidTr="0077680B">
        <w:tc>
          <w:tcPr>
            <w:tcW w:w="3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6D0F7D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29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F80C25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Dividend payment rate/charter capital (expected)</w:t>
            </w:r>
          </w:p>
        </w:tc>
        <w:tc>
          <w:tcPr>
            <w:tcW w:w="4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F6CA32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9%</w:t>
            </w:r>
          </w:p>
        </w:tc>
        <w:tc>
          <w:tcPr>
            <w:tcW w:w="13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B7C96F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9,000,000,000</w:t>
            </w:r>
          </w:p>
        </w:tc>
      </w:tr>
      <w:tr w:rsidR="00BC146E" w:rsidRPr="003F55D7" w14:paraId="3A23BC70" w14:textId="77777777" w:rsidTr="0077680B">
        <w:tc>
          <w:tcPr>
            <w:tcW w:w="3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D36A14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29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997927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6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Remaining profit transferred to the next year</w:t>
            </w:r>
          </w:p>
        </w:tc>
        <w:tc>
          <w:tcPr>
            <w:tcW w:w="4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C9989F" w14:textId="77777777" w:rsidR="00BC146E" w:rsidRPr="003F55D7" w:rsidRDefault="00BC146E" w:rsidP="0077680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F0E23B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16,488,443,293</w:t>
            </w:r>
          </w:p>
        </w:tc>
      </w:tr>
    </w:tbl>
    <w:p w14:paraId="0800E7B6" w14:textId="77777777" w:rsidR="00BC146E" w:rsidRPr="003F55D7" w:rsidRDefault="0077680B" w:rsidP="007768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55D7">
        <w:rPr>
          <w:rFonts w:ascii="Arial" w:hAnsi="Arial" w:cs="Arial"/>
          <w:color w:val="010000"/>
          <w:sz w:val="20"/>
        </w:rPr>
        <w:t>Approve the salary and remuneration settlement for the Board of Directors and Supervisory Board in 2023; the salary and remuneration payment plan of the Board of Directors and Supervisory Board in 2024.</w:t>
      </w:r>
    </w:p>
    <w:p w14:paraId="25C5EE7C" w14:textId="77777777" w:rsidR="00BC146E" w:rsidRPr="003F55D7" w:rsidRDefault="0077680B" w:rsidP="007768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55D7">
        <w:rPr>
          <w:rFonts w:ascii="Arial" w:hAnsi="Arial" w:cs="Arial"/>
          <w:color w:val="010000"/>
          <w:sz w:val="20"/>
        </w:rPr>
        <w:t>Salary and remuneration settlement of the Board of Directors and Supervisory Board in 2023:</w:t>
      </w:r>
    </w:p>
    <w:p w14:paraId="355ADBD2" w14:textId="77777777" w:rsidR="00BC146E" w:rsidRPr="003F55D7" w:rsidRDefault="0077680B" w:rsidP="007768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55D7">
        <w:rPr>
          <w:rFonts w:ascii="Arial" w:hAnsi="Arial" w:cs="Arial"/>
          <w:color w:val="010000"/>
          <w:sz w:val="20"/>
        </w:rPr>
        <w:t xml:space="preserve">Salary of the executive Chief of the Supervisory Board until March 30, 3023: </w:t>
      </w:r>
      <w:proofErr w:type="spellStart"/>
      <w:r w:rsidRPr="003F55D7">
        <w:rPr>
          <w:rFonts w:ascii="Arial" w:hAnsi="Arial" w:cs="Arial"/>
          <w:color w:val="010000"/>
          <w:sz w:val="20"/>
        </w:rPr>
        <w:t>VND</w:t>
      </w:r>
      <w:proofErr w:type="spellEnd"/>
      <w:r w:rsidRPr="003F55D7">
        <w:rPr>
          <w:rFonts w:ascii="Arial" w:hAnsi="Arial" w:cs="Arial"/>
          <w:color w:val="010000"/>
          <w:sz w:val="20"/>
        </w:rPr>
        <w:t xml:space="preserve"> 64,844,530.</w:t>
      </w:r>
    </w:p>
    <w:p w14:paraId="79AFD9C8" w14:textId="77777777" w:rsidR="00BC146E" w:rsidRPr="003F55D7" w:rsidRDefault="0077680B" w:rsidP="007768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747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55D7">
        <w:rPr>
          <w:rFonts w:ascii="Arial" w:hAnsi="Arial" w:cs="Arial"/>
          <w:color w:val="010000"/>
          <w:sz w:val="20"/>
        </w:rPr>
        <w:t xml:space="preserve">Remuneration for the non-executive members of the Board of Directors and Supervisory Board: </w:t>
      </w:r>
      <w:proofErr w:type="spellStart"/>
      <w:r w:rsidRPr="003F55D7">
        <w:rPr>
          <w:rFonts w:ascii="Arial" w:hAnsi="Arial" w:cs="Arial"/>
          <w:color w:val="010000"/>
          <w:sz w:val="20"/>
        </w:rPr>
        <w:t>VND</w:t>
      </w:r>
      <w:proofErr w:type="spellEnd"/>
      <w:r w:rsidRPr="003F55D7">
        <w:rPr>
          <w:rFonts w:ascii="Arial" w:hAnsi="Arial" w:cs="Arial"/>
          <w:color w:val="010000"/>
          <w:sz w:val="20"/>
        </w:rPr>
        <w:t xml:space="preserve"> 529,000,000.</w:t>
      </w:r>
    </w:p>
    <w:p w14:paraId="6A42CD55" w14:textId="33F85426" w:rsidR="00BC146E" w:rsidRPr="003F55D7" w:rsidRDefault="0077680B" w:rsidP="007768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55D7">
        <w:rPr>
          <w:rFonts w:ascii="Arial" w:hAnsi="Arial" w:cs="Arial"/>
          <w:color w:val="010000"/>
          <w:sz w:val="20"/>
        </w:rPr>
        <w:t xml:space="preserve">Plan on salary and remuneration settlement for the Board of Directors, the Supervisory Board and </w:t>
      </w:r>
      <w:r w:rsidR="003F55D7" w:rsidRPr="003F55D7">
        <w:rPr>
          <w:rFonts w:ascii="Arial" w:hAnsi="Arial" w:cs="Arial"/>
          <w:color w:val="010000"/>
          <w:sz w:val="20"/>
        </w:rPr>
        <w:t xml:space="preserve">the </w:t>
      </w:r>
      <w:r w:rsidRPr="003F55D7">
        <w:rPr>
          <w:rFonts w:ascii="Arial" w:hAnsi="Arial" w:cs="Arial"/>
          <w:color w:val="010000"/>
          <w:sz w:val="20"/>
        </w:rPr>
        <w:t>Person in charge of Corporate Governance in 2024: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55"/>
        <w:gridCol w:w="4579"/>
        <w:gridCol w:w="967"/>
        <w:gridCol w:w="2916"/>
      </w:tblGrid>
      <w:tr w:rsidR="00BC146E" w:rsidRPr="003F55D7" w14:paraId="19212548" w14:textId="77777777" w:rsidTr="0077680B">
        <w:tc>
          <w:tcPr>
            <w:tcW w:w="3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CC2380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5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7AB55F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8CEF79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Quantity</w:t>
            </w:r>
          </w:p>
        </w:tc>
        <w:tc>
          <w:tcPr>
            <w:tcW w:w="16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CBFFCC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Monthly provisional payment (</w:t>
            </w:r>
            <w:proofErr w:type="spellStart"/>
            <w:r w:rsidRPr="003F55D7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  <w:r w:rsidRPr="003F55D7">
              <w:rPr>
                <w:rFonts w:ascii="Arial" w:hAnsi="Arial" w:cs="Arial"/>
                <w:color w:val="010000"/>
                <w:sz w:val="20"/>
              </w:rPr>
              <w:t>/person/month)</w:t>
            </w:r>
          </w:p>
        </w:tc>
      </w:tr>
      <w:tr w:rsidR="00BC146E" w:rsidRPr="003F55D7" w14:paraId="0B252218" w14:textId="77777777" w:rsidTr="0077680B">
        <w:tc>
          <w:tcPr>
            <w:tcW w:w="3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9FEB69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5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16F416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Remuneration of members of the Board of Directors and Supervisory Board: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9EBAC6" w14:textId="77777777" w:rsidR="00BC146E" w:rsidRPr="003F55D7" w:rsidRDefault="00BC146E" w:rsidP="0077680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6FFC0C" w14:textId="77777777" w:rsidR="00BC146E" w:rsidRPr="003F55D7" w:rsidRDefault="00BC146E" w:rsidP="0077680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C146E" w:rsidRPr="003F55D7" w14:paraId="4370B156" w14:textId="77777777" w:rsidTr="0077680B">
        <w:tc>
          <w:tcPr>
            <w:tcW w:w="3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999C02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a</w:t>
            </w:r>
          </w:p>
        </w:tc>
        <w:tc>
          <w:tcPr>
            <w:tcW w:w="25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02AF6C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10B301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6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AFEF00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8,000,000</w:t>
            </w:r>
          </w:p>
        </w:tc>
      </w:tr>
      <w:tr w:rsidR="00BC146E" w:rsidRPr="003F55D7" w14:paraId="14B38A83" w14:textId="77777777" w:rsidTr="0077680B">
        <w:tc>
          <w:tcPr>
            <w:tcW w:w="3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4FFE04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b</w:t>
            </w:r>
          </w:p>
        </w:tc>
        <w:tc>
          <w:tcPr>
            <w:tcW w:w="25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D0CE1E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805FF6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6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EE655D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6,000,000</w:t>
            </w:r>
          </w:p>
        </w:tc>
      </w:tr>
      <w:tr w:rsidR="00BC146E" w:rsidRPr="003F55D7" w14:paraId="4301634C" w14:textId="77777777" w:rsidTr="0077680B">
        <w:tc>
          <w:tcPr>
            <w:tcW w:w="3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D58261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c</w:t>
            </w:r>
          </w:p>
        </w:tc>
        <w:tc>
          <w:tcPr>
            <w:tcW w:w="25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F7A553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8E0BB6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6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64258C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5,000,000</w:t>
            </w:r>
          </w:p>
        </w:tc>
      </w:tr>
      <w:tr w:rsidR="00BC146E" w:rsidRPr="003F55D7" w14:paraId="5D2C2BC3" w14:textId="77777777" w:rsidTr="0077680B">
        <w:tc>
          <w:tcPr>
            <w:tcW w:w="3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4B229E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lastRenderedPageBreak/>
              <w:t>d</w:t>
            </w:r>
          </w:p>
        </w:tc>
        <w:tc>
          <w:tcPr>
            <w:tcW w:w="25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7BD03C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F03031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6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758996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4,000,000</w:t>
            </w:r>
          </w:p>
        </w:tc>
      </w:tr>
      <w:tr w:rsidR="00BC146E" w:rsidRPr="003F55D7" w14:paraId="644697FA" w14:textId="77777777" w:rsidTr="0077680B">
        <w:tc>
          <w:tcPr>
            <w:tcW w:w="3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97C3BE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5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3CF2B8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Remuneration for the Person in charge of Corporate Governance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383425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6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353BDF" w14:textId="77777777" w:rsidR="00BC146E" w:rsidRPr="003F55D7" w:rsidRDefault="0077680B" w:rsidP="0077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F55D7">
              <w:rPr>
                <w:rFonts w:ascii="Arial" w:hAnsi="Arial" w:cs="Arial"/>
                <w:color w:val="010000"/>
                <w:sz w:val="20"/>
              </w:rPr>
              <w:t>4,000,000</w:t>
            </w:r>
          </w:p>
        </w:tc>
      </w:tr>
    </w:tbl>
    <w:p w14:paraId="034133FB" w14:textId="77777777" w:rsidR="00BC146E" w:rsidRPr="003F55D7" w:rsidRDefault="0077680B" w:rsidP="0077680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55D7">
        <w:rPr>
          <w:rFonts w:ascii="Arial" w:hAnsi="Arial" w:cs="Arial"/>
          <w:color w:val="010000"/>
          <w:sz w:val="20"/>
        </w:rPr>
        <w:t>(Realized salary and remuneration of the Board of Directors and Supervisory Board will be settled as per Circular No. 28/2016/</w:t>
      </w:r>
      <w:proofErr w:type="spellStart"/>
      <w:r w:rsidRPr="003F55D7">
        <w:rPr>
          <w:rFonts w:ascii="Arial" w:hAnsi="Arial" w:cs="Arial"/>
          <w:color w:val="010000"/>
          <w:sz w:val="20"/>
        </w:rPr>
        <w:t>TT-BLDTBXH</w:t>
      </w:r>
      <w:proofErr w:type="spellEnd"/>
      <w:r w:rsidRPr="003F55D7">
        <w:rPr>
          <w:rFonts w:ascii="Arial" w:hAnsi="Arial" w:cs="Arial"/>
          <w:color w:val="010000"/>
          <w:sz w:val="20"/>
        </w:rPr>
        <w:t xml:space="preserve"> of the Ministry of Labor, Invalids and Social Affairs and production and business results of the Company in 2024).</w:t>
      </w:r>
    </w:p>
    <w:p w14:paraId="7773D5B5" w14:textId="53035F44" w:rsidR="00BC146E" w:rsidRPr="003F55D7" w:rsidRDefault="0077680B" w:rsidP="007768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55D7">
        <w:rPr>
          <w:rFonts w:ascii="Arial" w:hAnsi="Arial" w:cs="Arial"/>
          <w:color w:val="010000"/>
          <w:sz w:val="20"/>
        </w:rPr>
        <w:t xml:space="preserve">Approve the selection of a company to audit the </w:t>
      </w:r>
      <w:r w:rsidR="003F55D7" w:rsidRPr="003F55D7">
        <w:rPr>
          <w:rFonts w:ascii="Arial" w:hAnsi="Arial" w:cs="Arial"/>
          <w:color w:val="010000"/>
          <w:sz w:val="20"/>
        </w:rPr>
        <w:t>Financial Statements</w:t>
      </w:r>
      <w:r w:rsidRPr="003F55D7">
        <w:rPr>
          <w:rFonts w:ascii="Arial" w:hAnsi="Arial" w:cs="Arial"/>
          <w:color w:val="010000"/>
          <w:sz w:val="20"/>
        </w:rPr>
        <w:t xml:space="preserve"> 2024.</w:t>
      </w:r>
    </w:p>
    <w:p w14:paraId="31DA836F" w14:textId="6C993E93" w:rsidR="00BC146E" w:rsidRPr="003F55D7" w:rsidRDefault="0077680B" w:rsidP="0077680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55D7">
        <w:rPr>
          <w:rFonts w:ascii="Arial" w:hAnsi="Arial" w:cs="Arial"/>
          <w:color w:val="010000"/>
          <w:sz w:val="20"/>
        </w:rPr>
        <w:t xml:space="preserve">The </w:t>
      </w:r>
      <w:r w:rsidR="003F55D7" w:rsidRPr="003F55D7">
        <w:rPr>
          <w:rFonts w:ascii="Arial" w:hAnsi="Arial" w:cs="Arial"/>
          <w:color w:val="010000"/>
          <w:sz w:val="20"/>
        </w:rPr>
        <w:t>General Meeting of Shareholders</w:t>
      </w:r>
      <w:r w:rsidRPr="003F55D7">
        <w:rPr>
          <w:rFonts w:ascii="Arial" w:hAnsi="Arial" w:cs="Arial"/>
          <w:color w:val="010000"/>
          <w:sz w:val="20"/>
        </w:rPr>
        <w:t xml:space="preserve"> authorizes the Board of Directors to select one of the 3 audit companies in the list below to audit the </w:t>
      </w:r>
      <w:r w:rsidR="003F55D7" w:rsidRPr="003F55D7">
        <w:rPr>
          <w:rFonts w:ascii="Arial" w:hAnsi="Arial" w:cs="Arial"/>
          <w:color w:val="010000"/>
          <w:sz w:val="20"/>
        </w:rPr>
        <w:t>Financial Statements</w:t>
      </w:r>
      <w:r w:rsidRPr="003F55D7">
        <w:rPr>
          <w:rFonts w:ascii="Arial" w:hAnsi="Arial" w:cs="Arial"/>
          <w:color w:val="010000"/>
          <w:sz w:val="20"/>
        </w:rPr>
        <w:t xml:space="preserve"> 2024 of </w:t>
      </w:r>
      <w:proofErr w:type="spellStart"/>
      <w:r w:rsidRPr="003F55D7">
        <w:rPr>
          <w:rFonts w:ascii="Arial" w:hAnsi="Arial" w:cs="Arial"/>
          <w:color w:val="010000"/>
          <w:sz w:val="20"/>
        </w:rPr>
        <w:t>Nhon</w:t>
      </w:r>
      <w:proofErr w:type="spellEnd"/>
      <w:r w:rsidRPr="003F55D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3F55D7">
        <w:rPr>
          <w:rFonts w:ascii="Arial" w:hAnsi="Arial" w:cs="Arial"/>
          <w:color w:val="010000"/>
          <w:sz w:val="20"/>
        </w:rPr>
        <w:t>Trach</w:t>
      </w:r>
      <w:proofErr w:type="spellEnd"/>
      <w:r w:rsidRPr="003F55D7">
        <w:rPr>
          <w:rFonts w:ascii="Arial" w:hAnsi="Arial" w:cs="Arial"/>
          <w:color w:val="010000"/>
          <w:sz w:val="20"/>
        </w:rPr>
        <w:t xml:space="preserve"> Water Supply Joint Stock Company:</w:t>
      </w:r>
    </w:p>
    <w:p w14:paraId="26F0FB7D" w14:textId="77777777" w:rsidR="00BC146E" w:rsidRPr="003F55D7" w:rsidRDefault="0077680B" w:rsidP="007768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3F55D7">
        <w:rPr>
          <w:rFonts w:ascii="Arial" w:hAnsi="Arial" w:cs="Arial"/>
          <w:color w:val="010000"/>
          <w:sz w:val="20"/>
        </w:rPr>
        <w:t>A&amp;C</w:t>
      </w:r>
      <w:proofErr w:type="spellEnd"/>
      <w:r w:rsidRPr="003F55D7">
        <w:rPr>
          <w:rFonts w:ascii="Arial" w:hAnsi="Arial" w:cs="Arial"/>
          <w:color w:val="010000"/>
          <w:sz w:val="20"/>
        </w:rPr>
        <w:t xml:space="preserve"> Auditing and Consulting Company Limited</w:t>
      </w:r>
    </w:p>
    <w:p w14:paraId="05ECACCD" w14:textId="77777777" w:rsidR="00BC146E" w:rsidRPr="003F55D7" w:rsidRDefault="0077680B" w:rsidP="007768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3F55D7">
        <w:rPr>
          <w:rFonts w:ascii="Arial" w:hAnsi="Arial" w:cs="Arial"/>
          <w:color w:val="010000"/>
          <w:sz w:val="20"/>
        </w:rPr>
        <w:t>RSM</w:t>
      </w:r>
      <w:proofErr w:type="spellEnd"/>
      <w:r w:rsidRPr="003F55D7">
        <w:rPr>
          <w:rFonts w:ascii="Arial" w:hAnsi="Arial" w:cs="Arial"/>
          <w:color w:val="010000"/>
          <w:sz w:val="20"/>
        </w:rPr>
        <w:t xml:space="preserve"> Vietnam Auditing &amp; Consulting Company Limited</w:t>
      </w:r>
    </w:p>
    <w:p w14:paraId="63ADE566" w14:textId="77777777" w:rsidR="00BC146E" w:rsidRPr="003F55D7" w:rsidRDefault="0077680B" w:rsidP="007768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3F55D7">
        <w:rPr>
          <w:rFonts w:ascii="Arial" w:hAnsi="Arial" w:cs="Arial"/>
          <w:color w:val="010000"/>
          <w:sz w:val="20"/>
        </w:rPr>
        <w:t>VACO</w:t>
      </w:r>
      <w:proofErr w:type="spellEnd"/>
      <w:r w:rsidRPr="003F55D7">
        <w:rPr>
          <w:rFonts w:ascii="Arial" w:hAnsi="Arial" w:cs="Arial"/>
          <w:color w:val="010000"/>
          <w:sz w:val="20"/>
        </w:rPr>
        <w:t xml:space="preserve"> Auditing Company Limited</w:t>
      </w:r>
    </w:p>
    <w:p w14:paraId="21466B59" w14:textId="52868A7C" w:rsidR="00BC146E" w:rsidRPr="003F55D7" w:rsidRDefault="0077680B" w:rsidP="007768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55D7">
        <w:rPr>
          <w:rFonts w:ascii="Arial" w:hAnsi="Arial" w:cs="Arial"/>
          <w:color w:val="010000"/>
          <w:sz w:val="20"/>
        </w:rPr>
        <w:t xml:space="preserve">Approve the policy of signing water purchase contracts through master meters with a value greater than 10% of total assets on the most recent </w:t>
      </w:r>
      <w:r w:rsidR="003F55D7" w:rsidRPr="003F55D7">
        <w:rPr>
          <w:rFonts w:ascii="Arial" w:hAnsi="Arial" w:cs="Arial"/>
          <w:color w:val="010000"/>
          <w:sz w:val="20"/>
        </w:rPr>
        <w:t>Financial Statements</w:t>
      </w:r>
      <w:r w:rsidRPr="003F55D7">
        <w:rPr>
          <w:rFonts w:ascii="Arial" w:hAnsi="Arial" w:cs="Arial"/>
          <w:color w:val="010000"/>
          <w:sz w:val="20"/>
        </w:rPr>
        <w:t xml:space="preserve"> between the Company and Dong </w:t>
      </w:r>
      <w:proofErr w:type="spellStart"/>
      <w:r w:rsidRPr="003F55D7">
        <w:rPr>
          <w:rFonts w:ascii="Arial" w:hAnsi="Arial" w:cs="Arial"/>
          <w:color w:val="010000"/>
          <w:sz w:val="20"/>
        </w:rPr>
        <w:t>Nai</w:t>
      </w:r>
      <w:proofErr w:type="spellEnd"/>
      <w:r w:rsidRPr="003F55D7">
        <w:rPr>
          <w:rFonts w:ascii="Arial" w:hAnsi="Arial" w:cs="Arial"/>
          <w:color w:val="010000"/>
          <w:sz w:val="20"/>
        </w:rPr>
        <w:t xml:space="preserve"> Water Joint Stock Company (shareholders owning at least 51% of total shares possess voting rights).</w:t>
      </w:r>
    </w:p>
    <w:p w14:paraId="25910163" w14:textId="1BAC02A5" w:rsidR="00BC146E" w:rsidRPr="003F55D7" w:rsidRDefault="0077680B" w:rsidP="0077680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55D7">
        <w:rPr>
          <w:rFonts w:ascii="Arial" w:hAnsi="Arial" w:cs="Arial"/>
          <w:color w:val="010000"/>
          <w:sz w:val="20"/>
        </w:rPr>
        <w:t xml:space="preserve">‎‎Article 2. The </w:t>
      </w:r>
      <w:r w:rsidR="003F55D7" w:rsidRPr="003F55D7">
        <w:rPr>
          <w:rFonts w:ascii="Arial" w:hAnsi="Arial" w:cs="Arial"/>
          <w:color w:val="010000"/>
          <w:sz w:val="20"/>
        </w:rPr>
        <w:t>General Meeting of Shareholders</w:t>
      </w:r>
      <w:r w:rsidRPr="003F55D7">
        <w:rPr>
          <w:rFonts w:ascii="Arial" w:hAnsi="Arial" w:cs="Arial"/>
          <w:color w:val="010000"/>
          <w:sz w:val="20"/>
        </w:rPr>
        <w:t xml:space="preserve"> assigns the Board of Directors and Supervisory Board to be responsible for monitoring, supervising and directing the Board of Managers to implement the contents of the General Mandate.</w:t>
      </w:r>
    </w:p>
    <w:p w14:paraId="46EEF474" w14:textId="77777777" w:rsidR="00BC146E" w:rsidRPr="003F55D7" w:rsidRDefault="0077680B" w:rsidP="0077680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55D7">
        <w:rPr>
          <w:rFonts w:ascii="Arial" w:hAnsi="Arial" w:cs="Arial"/>
          <w:color w:val="010000"/>
          <w:sz w:val="20"/>
        </w:rPr>
        <w:t>Article 3. This General Mandate takes effect from April 11, 2024.</w:t>
      </w:r>
    </w:p>
    <w:p w14:paraId="5824D68A" w14:textId="77777777" w:rsidR="00BC146E" w:rsidRPr="003F55D7" w:rsidRDefault="0077680B" w:rsidP="0077680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55D7">
        <w:rPr>
          <w:rFonts w:ascii="Arial" w:hAnsi="Arial" w:cs="Arial"/>
          <w:color w:val="010000"/>
          <w:sz w:val="20"/>
        </w:rPr>
        <w:t>The Board of Directors, the Supervisory Board, the Board of Managers, and other relevant individuals and units are responsible for implementing this General Mandate.</w:t>
      </w:r>
    </w:p>
    <w:sectPr w:rsidR="00BC146E" w:rsidRPr="003F55D7" w:rsidSect="0077680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B3255"/>
    <w:multiLevelType w:val="multilevel"/>
    <w:tmpl w:val="3A566F7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>
    <w:nsid w:val="20E534B4"/>
    <w:multiLevelType w:val="multilevel"/>
    <w:tmpl w:val="9AF0878E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 w:themeColor="text1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 w:themeColor="text1"/>
        <w:sz w:val="20"/>
        <w:szCs w:val="20"/>
        <w:highlight w:val="white"/>
        <w:u w:val="none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E15661A"/>
    <w:multiLevelType w:val="multilevel"/>
    <w:tmpl w:val="FD5A010C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 w:themeColor="text1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E7C4A98"/>
    <w:multiLevelType w:val="multilevel"/>
    <w:tmpl w:val="EADC97D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535256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64E56CC"/>
    <w:multiLevelType w:val="multilevel"/>
    <w:tmpl w:val="B180052A"/>
    <w:lvl w:ilvl="0">
      <w:start w:val="1"/>
      <w:numFmt w:val="decimal"/>
      <w:lvlText w:val="6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 w:themeColor="text1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6E"/>
    <w:rsid w:val="003F55D7"/>
    <w:rsid w:val="0077680B"/>
    <w:rsid w:val="00BC146E"/>
    <w:rsid w:val="00C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C199BB"/>
  <w15:docId w15:val="{4686CEBC-636A-42D6-AEF1-A9214223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5256"/>
      <w:sz w:val="28"/>
      <w:szCs w:val="28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5256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D6D6E"/>
      <w:sz w:val="22"/>
      <w:szCs w:val="22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color w:val="89888D"/>
      <w:sz w:val="11"/>
      <w:szCs w:val="11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5256"/>
      <w:sz w:val="28"/>
      <w:szCs w:val="2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D3C41"/>
      <w:sz w:val="30"/>
      <w:szCs w:val="3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D17C93"/>
      <w:sz w:val="16"/>
      <w:szCs w:val="1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D17C93"/>
      <w:sz w:val="19"/>
      <w:szCs w:val="19"/>
      <w:u w:val="none"/>
      <w:shd w:val="clear" w:color="auto" w:fill="auto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color w:val="535256"/>
      <w:sz w:val="28"/>
      <w:szCs w:val="28"/>
    </w:rPr>
  </w:style>
  <w:style w:type="paragraph" w:customStyle="1" w:styleId="Khc0">
    <w:name w:val="Khác"/>
    <w:basedOn w:val="Normal"/>
    <w:link w:val="Khc"/>
    <w:pPr>
      <w:ind w:firstLine="400"/>
    </w:pPr>
    <w:rPr>
      <w:rFonts w:ascii="Times New Roman" w:eastAsia="Times New Roman" w:hAnsi="Times New Roman" w:cs="Times New Roman"/>
      <w:color w:val="535256"/>
      <w:sz w:val="28"/>
      <w:szCs w:val="28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color w:val="6D6D6E"/>
      <w:sz w:val="22"/>
      <w:szCs w:val="22"/>
    </w:rPr>
  </w:style>
  <w:style w:type="paragraph" w:customStyle="1" w:styleId="Vnbnnidung50">
    <w:name w:val="Văn bản nội dung (5)"/>
    <w:basedOn w:val="Normal"/>
    <w:link w:val="Vnbnnidung5"/>
    <w:rPr>
      <w:rFonts w:ascii="Arial" w:eastAsia="Arial" w:hAnsi="Arial" w:cs="Arial"/>
      <w:color w:val="89888D"/>
      <w:sz w:val="11"/>
      <w:szCs w:val="11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color w:val="535256"/>
      <w:sz w:val="28"/>
      <w:szCs w:val="28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color w:val="3D3C41"/>
      <w:sz w:val="30"/>
      <w:szCs w:val="30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Times New Roman" w:eastAsia="Times New Roman" w:hAnsi="Times New Roman" w:cs="Times New Roman"/>
      <w:b/>
      <w:bCs/>
      <w:color w:val="D17C93"/>
      <w:sz w:val="16"/>
      <w:szCs w:val="16"/>
    </w:rPr>
  </w:style>
  <w:style w:type="paragraph" w:customStyle="1" w:styleId="Vnbnnidung30">
    <w:name w:val="Văn bản nội dung (3)"/>
    <w:basedOn w:val="Normal"/>
    <w:link w:val="Vnbnnidung3"/>
    <w:pPr>
      <w:ind w:left="2530"/>
    </w:pPr>
    <w:rPr>
      <w:rFonts w:ascii="Times New Roman" w:eastAsia="Times New Roman" w:hAnsi="Times New Roman" w:cs="Times New Roman"/>
      <w:b/>
      <w:bCs/>
      <w:color w:val="D17C93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G0AihKTZfJquZ222RWIpeTjjog==">CgMxLjA4AHIhMTdKLWw1UC1fTEVRd0ZUOThhdHlCYVNmU0hqVzJqSkIw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2024-04-19T03:40:00Z</dcterms:created>
  <dcterms:modified xsi:type="dcterms:W3CDTF">2024-04-19T03:40:00Z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4e475bd070c6e5e4171dc5cbfa9e6df18f8c521939eef04452602e6beb8865d2</vt:lpwstr>
  </property>
</Properties>
</file>