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6482822" w:rsidR="00CE1B9B" w:rsidRPr="00084F43" w:rsidRDefault="005168B9" w:rsidP="00EB67CE">
      <w:pPr>
        <w:pBdr>
          <w:top w:val="nil"/>
          <w:left w:val="nil"/>
          <w:bottom w:val="nil"/>
          <w:right w:val="nil"/>
          <w:between w:val="nil"/>
        </w:pBdr>
        <w:tabs>
          <w:tab w:val="left" w:pos="432"/>
        </w:tabs>
        <w:spacing w:after="120" w:line="360" w:lineRule="auto"/>
        <w:jc w:val="both"/>
        <w:rPr>
          <w:rFonts w:asciiTheme="minorHAnsi" w:eastAsia="Arial" w:hAnsiTheme="minorHAnsi" w:cstheme="minorHAnsi"/>
          <w:b/>
          <w:color w:val="010000"/>
          <w:sz w:val="20"/>
          <w:szCs w:val="20"/>
        </w:rPr>
      </w:pPr>
      <w:r w:rsidRPr="00084F43">
        <w:rPr>
          <w:rFonts w:asciiTheme="minorHAnsi" w:hAnsiTheme="minorHAnsi" w:cstheme="minorHAnsi"/>
          <w:b/>
          <w:color w:val="010000"/>
          <w:sz w:val="20"/>
          <w:szCs w:val="20"/>
        </w:rPr>
        <w:t>STC: Board Resolution</w:t>
      </w:r>
    </w:p>
    <w:p w14:paraId="00000002" w14:textId="77777777" w:rsidR="00CE1B9B" w:rsidRPr="00084F43" w:rsidRDefault="005168B9" w:rsidP="00EB67CE">
      <w:pPr>
        <w:keepNext/>
        <w:pBdr>
          <w:top w:val="nil"/>
          <w:left w:val="nil"/>
          <w:bottom w:val="nil"/>
          <w:right w:val="nil"/>
          <w:between w:val="nil"/>
        </w:pBdr>
        <w:tabs>
          <w:tab w:val="left" w:pos="432"/>
        </w:tabs>
        <w:spacing w:after="120" w:line="360" w:lineRule="auto"/>
        <w:jc w:val="both"/>
        <w:rPr>
          <w:rFonts w:asciiTheme="minorHAnsi" w:eastAsia="Arial" w:hAnsiTheme="minorHAnsi" w:cstheme="minorHAnsi"/>
          <w:color w:val="010000"/>
          <w:sz w:val="20"/>
          <w:szCs w:val="20"/>
        </w:rPr>
      </w:pPr>
      <w:r w:rsidRPr="00084F43">
        <w:rPr>
          <w:rFonts w:asciiTheme="minorHAnsi" w:hAnsiTheme="minorHAnsi" w:cstheme="minorHAnsi"/>
          <w:color w:val="010000"/>
          <w:sz w:val="20"/>
          <w:szCs w:val="20"/>
        </w:rPr>
        <w:t>On April 11, 2024, Book and Educational Equipment JSC in Ho Chi Minh city announced Resolution No. 06/NQ-HDQT as follows:</w:t>
      </w:r>
    </w:p>
    <w:p w14:paraId="00000003" w14:textId="77777777" w:rsidR="00CE1B9B" w:rsidRPr="00084F43" w:rsidRDefault="005168B9" w:rsidP="00EB67CE">
      <w:pPr>
        <w:pBdr>
          <w:top w:val="nil"/>
          <w:left w:val="nil"/>
          <w:bottom w:val="nil"/>
          <w:right w:val="nil"/>
          <w:between w:val="nil"/>
        </w:pBdr>
        <w:tabs>
          <w:tab w:val="left" w:pos="432"/>
        </w:tabs>
        <w:spacing w:after="120" w:line="360" w:lineRule="auto"/>
        <w:jc w:val="both"/>
        <w:rPr>
          <w:rFonts w:asciiTheme="minorHAnsi" w:eastAsia="Arial" w:hAnsiTheme="minorHAnsi" w:cstheme="minorHAnsi"/>
          <w:color w:val="010000"/>
          <w:sz w:val="20"/>
          <w:szCs w:val="20"/>
        </w:rPr>
      </w:pPr>
      <w:r w:rsidRPr="00084F43">
        <w:rPr>
          <w:rFonts w:asciiTheme="minorHAnsi" w:hAnsiTheme="minorHAnsi" w:cstheme="minorHAnsi"/>
          <w:color w:val="010000"/>
          <w:sz w:val="20"/>
          <w:szCs w:val="20"/>
        </w:rPr>
        <w:t>Article 1:</w:t>
      </w:r>
    </w:p>
    <w:p w14:paraId="00000004" w14:textId="7666DEF6" w:rsidR="00CE1B9B" w:rsidRPr="00084F43" w:rsidRDefault="005168B9" w:rsidP="00EB67CE">
      <w:pPr>
        <w:pBdr>
          <w:top w:val="nil"/>
          <w:left w:val="nil"/>
          <w:bottom w:val="nil"/>
          <w:right w:val="nil"/>
          <w:between w:val="nil"/>
        </w:pBdr>
        <w:tabs>
          <w:tab w:val="left" w:pos="432"/>
        </w:tabs>
        <w:spacing w:after="120" w:line="360" w:lineRule="auto"/>
        <w:jc w:val="both"/>
        <w:rPr>
          <w:rFonts w:asciiTheme="minorHAnsi" w:eastAsia="Arial" w:hAnsiTheme="minorHAnsi" w:cstheme="minorHAnsi"/>
          <w:color w:val="010000"/>
          <w:sz w:val="20"/>
          <w:szCs w:val="20"/>
        </w:rPr>
      </w:pPr>
      <w:r w:rsidRPr="00084F43">
        <w:rPr>
          <w:rFonts w:asciiTheme="minorHAnsi" w:hAnsiTheme="minorHAnsi" w:cstheme="minorHAnsi"/>
          <w:color w:val="010000"/>
          <w:sz w:val="20"/>
          <w:szCs w:val="20"/>
        </w:rPr>
        <w:t xml:space="preserve">Approve the loan policy and other credit extension </w:t>
      </w:r>
      <w:r w:rsidR="00BD3083" w:rsidRPr="00084F43">
        <w:rPr>
          <w:rFonts w:asciiTheme="minorHAnsi" w:hAnsiTheme="minorHAnsi" w:cstheme="minorHAnsi"/>
          <w:color w:val="010000"/>
          <w:sz w:val="20"/>
          <w:szCs w:val="20"/>
        </w:rPr>
        <w:t>services</w:t>
      </w:r>
      <w:r w:rsidRPr="00084F43">
        <w:rPr>
          <w:rFonts w:asciiTheme="minorHAnsi" w:hAnsiTheme="minorHAnsi" w:cstheme="minorHAnsi"/>
          <w:color w:val="010000"/>
          <w:sz w:val="20"/>
          <w:szCs w:val="20"/>
        </w:rPr>
        <w:t xml:space="preserve"> at </w:t>
      </w:r>
      <w:r w:rsidR="00BD3083" w:rsidRPr="00084F43">
        <w:rPr>
          <w:rFonts w:asciiTheme="minorHAnsi" w:hAnsiTheme="minorHAnsi" w:cstheme="minorHAnsi"/>
          <w:color w:val="010000"/>
          <w:sz w:val="20"/>
          <w:szCs w:val="20"/>
        </w:rPr>
        <w:t xml:space="preserve">Bank for Foreign Trade of Vietnam </w:t>
      </w:r>
      <w:r w:rsidRPr="00084F43">
        <w:rPr>
          <w:rFonts w:asciiTheme="minorHAnsi" w:hAnsiTheme="minorHAnsi" w:cstheme="minorHAnsi"/>
          <w:color w:val="010000"/>
          <w:sz w:val="20"/>
          <w:szCs w:val="20"/>
        </w:rPr>
        <w:t>- Branch Sai Gon Cho Lon, wit</w:t>
      </w:r>
      <w:bookmarkStart w:id="0" w:name="_GoBack"/>
      <w:bookmarkEnd w:id="0"/>
      <w:r w:rsidRPr="00084F43">
        <w:rPr>
          <w:rFonts w:asciiTheme="minorHAnsi" w:hAnsiTheme="minorHAnsi" w:cstheme="minorHAnsi"/>
          <w:color w:val="010000"/>
          <w:sz w:val="20"/>
          <w:szCs w:val="20"/>
        </w:rPr>
        <w:t xml:space="preserve">h fundamental contents as </w:t>
      </w:r>
      <w:r w:rsidR="008B4C56">
        <w:rPr>
          <w:rFonts w:asciiTheme="minorHAnsi" w:hAnsiTheme="minorHAnsi" w:cstheme="minorHAnsi"/>
          <w:color w:val="010000"/>
          <w:sz w:val="20"/>
          <w:szCs w:val="20"/>
        </w:rPr>
        <w:t>follows</w:t>
      </w:r>
      <w:r w:rsidRPr="00084F43">
        <w:rPr>
          <w:rFonts w:asciiTheme="minorHAnsi" w:hAnsiTheme="minorHAnsi" w:cstheme="minorHAnsi"/>
          <w:color w:val="010000"/>
          <w:sz w:val="20"/>
          <w:szCs w:val="20"/>
        </w:rPr>
        <w:t>:</w:t>
      </w:r>
    </w:p>
    <w:p w14:paraId="00000005" w14:textId="77777777" w:rsidR="00CE1B9B" w:rsidRPr="00084F43" w:rsidRDefault="005168B9" w:rsidP="00EB67CE">
      <w:pPr>
        <w:numPr>
          <w:ilvl w:val="0"/>
          <w:numId w:val="1"/>
        </w:numPr>
        <w:pBdr>
          <w:top w:val="nil"/>
          <w:left w:val="nil"/>
          <w:bottom w:val="nil"/>
          <w:right w:val="nil"/>
          <w:between w:val="nil"/>
        </w:pBdr>
        <w:tabs>
          <w:tab w:val="left" w:pos="432"/>
          <w:tab w:val="left" w:pos="1039"/>
        </w:tabs>
        <w:spacing w:after="120" w:line="360" w:lineRule="auto"/>
        <w:jc w:val="both"/>
        <w:rPr>
          <w:rFonts w:asciiTheme="minorHAnsi" w:eastAsia="Arial" w:hAnsiTheme="minorHAnsi" w:cstheme="minorHAnsi"/>
          <w:color w:val="010000"/>
          <w:sz w:val="20"/>
          <w:szCs w:val="20"/>
        </w:rPr>
      </w:pPr>
      <w:r w:rsidRPr="00084F43">
        <w:rPr>
          <w:rFonts w:asciiTheme="minorHAnsi" w:hAnsiTheme="minorHAnsi" w:cstheme="minorHAnsi"/>
          <w:color w:val="010000"/>
          <w:sz w:val="20"/>
          <w:szCs w:val="20"/>
        </w:rPr>
        <w:t>Total credit limit in Vietnamese Dong is VND 50,000,000,000.</w:t>
      </w:r>
    </w:p>
    <w:p w14:paraId="00000006" w14:textId="77777777" w:rsidR="00CE1B9B" w:rsidRPr="00084F43" w:rsidRDefault="005168B9" w:rsidP="00EB67CE">
      <w:pPr>
        <w:numPr>
          <w:ilvl w:val="0"/>
          <w:numId w:val="1"/>
        </w:numPr>
        <w:pBdr>
          <w:top w:val="nil"/>
          <w:left w:val="nil"/>
          <w:bottom w:val="nil"/>
          <w:right w:val="nil"/>
          <w:between w:val="nil"/>
        </w:pBdr>
        <w:tabs>
          <w:tab w:val="left" w:pos="432"/>
          <w:tab w:val="left" w:pos="1063"/>
        </w:tabs>
        <w:spacing w:after="120" w:line="360" w:lineRule="auto"/>
        <w:jc w:val="both"/>
        <w:rPr>
          <w:rFonts w:asciiTheme="minorHAnsi" w:eastAsia="Arial" w:hAnsiTheme="minorHAnsi" w:cstheme="minorHAnsi"/>
          <w:color w:val="010000"/>
          <w:sz w:val="20"/>
          <w:szCs w:val="20"/>
        </w:rPr>
      </w:pPr>
      <w:r w:rsidRPr="00084F43">
        <w:rPr>
          <w:rFonts w:asciiTheme="minorHAnsi" w:hAnsiTheme="minorHAnsi" w:cstheme="minorHAnsi"/>
          <w:color w:val="010000"/>
          <w:sz w:val="20"/>
          <w:szCs w:val="20"/>
        </w:rPr>
        <w:t>Purpose of the loan: To supplement working capital for production and business and to issue letters of guarantee:</w:t>
      </w:r>
    </w:p>
    <w:p w14:paraId="00000007" w14:textId="77777777" w:rsidR="00CE1B9B" w:rsidRPr="00084F43" w:rsidRDefault="005168B9" w:rsidP="00EB67CE">
      <w:pPr>
        <w:numPr>
          <w:ilvl w:val="0"/>
          <w:numId w:val="1"/>
        </w:numPr>
        <w:pBdr>
          <w:top w:val="nil"/>
          <w:left w:val="nil"/>
          <w:bottom w:val="nil"/>
          <w:right w:val="nil"/>
          <w:between w:val="nil"/>
        </w:pBdr>
        <w:tabs>
          <w:tab w:val="left" w:pos="432"/>
          <w:tab w:val="left" w:pos="1017"/>
        </w:tabs>
        <w:spacing w:after="120" w:line="360" w:lineRule="auto"/>
        <w:jc w:val="both"/>
        <w:rPr>
          <w:rFonts w:asciiTheme="minorHAnsi" w:eastAsia="Arial" w:hAnsiTheme="minorHAnsi" w:cstheme="minorHAnsi"/>
          <w:color w:val="010000"/>
          <w:sz w:val="20"/>
          <w:szCs w:val="20"/>
        </w:rPr>
      </w:pPr>
      <w:r w:rsidRPr="00084F43">
        <w:rPr>
          <w:rFonts w:asciiTheme="minorHAnsi" w:hAnsiTheme="minorHAnsi" w:cstheme="minorHAnsi"/>
          <w:color w:val="010000"/>
          <w:sz w:val="20"/>
          <w:szCs w:val="20"/>
        </w:rPr>
        <w:t>Loan term: Maximum 6 months/ Acknowledgment of Debt</w:t>
      </w:r>
    </w:p>
    <w:p w14:paraId="00000008" w14:textId="55382DFC" w:rsidR="00CE1B9B" w:rsidRPr="00084F43" w:rsidRDefault="005168B9" w:rsidP="00EB67CE">
      <w:pPr>
        <w:numPr>
          <w:ilvl w:val="0"/>
          <w:numId w:val="1"/>
        </w:numPr>
        <w:pBdr>
          <w:top w:val="nil"/>
          <w:left w:val="nil"/>
          <w:bottom w:val="nil"/>
          <w:right w:val="nil"/>
          <w:between w:val="nil"/>
        </w:pBdr>
        <w:tabs>
          <w:tab w:val="left" w:pos="432"/>
          <w:tab w:val="left" w:pos="1073"/>
        </w:tabs>
        <w:spacing w:after="120" w:line="360" w:lineRule="auto"/>
        <w:jc w:val="both"/>
        <w:rPr>
          <w:rFonts w:asciiTheme="minorHAnsi" w:eastAsia="Arial" w:hAnsiTheme="minorHAnsi" w:cstheme="minorHAnsi"/>
          <w:color w:val="010000"/>
          <w:sz w:val="20"/>
          <w:szCs w:val="20"/>
        </w:rPr>
      </w:pPr>
      <w:r w:rsidRPr="00084F43">
        <w:rPr>
          <w:rFonts w:asciiTheme="minorHAnsi" w:hAnsiTheme="minorHAnsi" w:cstheme="minorHAnsi"/>
          <w:color w:val="010000"/>
          <w:sz w:val="20"/>
          <w:szCs w:val="20"/>
        </w:rPr>
        <w:t xml:space="preserve">Guarantee measures: Mortgage leased land use rights (including income earned from business and exploitation of the value of land use rights or assets attached to land arising from contract on lease of land use rights No. 31/HDDT/ ST3 dated December 26, 2006 and Appendix No. 01 dated January 15, 2007 signed between the Mortgagor and </w:t>
      </w:r>
      <w:r w:rsidR="00BD3083" w:rsidRPr="00084F43">
        <w:rPr>
          <w:rStyle w:val="copy"/>
          <w:rFonts w:asciiTheme="minorHAnsi" w:hAnsiTheme="minorHAnsi" w:cstheme="minorHAnsi"/>
          <w:color w:val="010000"/>
          <w:sz w:val="20"/>
          <w:szCs w:val="20"/>
        </w:rPr>
        <w:t xml:space="preserve">Công Ty Cổ Phần Phát Triển Khu Công Nghiệp Sóng Thần (tentatively translated as </w:t>
      </w:r>
      <w:r w:rsidRPr="00084F43">
        <w:rPr>
          <w:rFonts w:asciiTheme="minorHAnsi" w:hAnsiTheme="minorHAnsi" w:cstheme="minorHAnsi"/>
          <w:color w:val="010000"/>
          <w:sz w:val="20"/>
          <w:szCs w:val="20"/>
        </w:rPr>
        <w:t>Song Than Industrial Park Development Joint Stock Company</w:t>
      </w:r>
      <w:r w:rsidR="00BD3083" w:rsidRPr="00084F43">
        <w:rPr>
          <w:rFonts w:asciiTheme="minorHAnsi" w:hAnsiTheme="minorHAnsi" w:cstheme="minorHAnsi"/>
          <w:color w:val="010000"/>
          <w:sz w:val="20"/>
          <w:szCs w:val="20"/>
        </w:rPr>
        <w:t>)</w:t>
      </w:r>
      <w:r w:rsidRPr="00084F43">
        <w:rPr>
          <w:rFonts w:asciiTheme="minorHAnsi" w:hAnsiTheme="minorHAnsi" w:cstheme="minorHAnsi"/>
          <w:color w:val="010000"/>
          <w:sz w:val="20"/>
          <w:szCs w:val="20"/>
        </w:rPr>
        <w:t xml:space="preserve">, leased land area: 20,606 m2) and all construction works attached to land at Song Than 3 Industrial Park, Phu Tan Ward, Thu Dau Mot City, Binh Duong Province owned by Book and Educational Equipment JSC in Ho Chi Minh city according to the Certificate of Land Use Rights, ownership of houses and other assets attached to land No. BD 586996, number in the Red Book: CT00424 issued by Binh Duong Department of </w:t>
      </w:r>
      <w:r w:rsidR="00BD3083" w:rsidRPr="00084F43">
        <w:rPr>
          <w:rFonts w:asciiTheme="minorHAnsi" w:hAnsiTheme="minorHAnsi" w:cstheme="minorHAnsi"/>
          <w:color w:val="010000"/>
          <w:sz w:val="20"/>
          <w:szCs w:val="20"/>
        </w:rPr>
        <w:t>N</w:t>
      </w:r>
      <w:r w:rsidRPr="00084F43">
        <w:rPr>
          <w:rFonts w:asciiTheme="minorHAnsi" w:hAnsiTheme="minorHAnsi" w:cstheme="minorHAnsi"/>
          <w:color w:val="010000"/>
          <w:sz w:val="20"/>
          <w:szCs w:val="20"/>
        </w:rPr>
        <w:t xml:space="preserve">atural </w:t>
      </w:r>
      <w:r w:rsidR="00BD3083" w:rsidRPr="00084F43">
        <w:rPr>
          <w:rFonts w:asciiTheme="minorHAnsi" w:hAnsiTheme="minorHAnsi" w:cstheme="minorHAnsi"/>
          <w:color w:val="010000"/>
          <w:sz w:val="20"/>
          <w:szCs w:val="20"/>
        </w:rPr>
        <w:t>R</w:t>
      </w:r>
      <w:r w:rsidRPr="00084F43">
        <w:rPr>
          <w:rFonts w:asciiTheme="minorHAnsi" w:hAnsiTheme="minorHAnsi" w:cstheme="minorHAnsi"/>
          <w:color w:val="010000"/>
          <w:sz w:val="20"/>
          <w:szCs w:val="20"/>
        </w:rPr>
        <w:t>esources and Environment on October 26, 2011.</w:t>
      </w:r>
    </w:p>
    <w:p w14:paraId="00000009" w14:textId="77777777" w:rsidR="00CE1B9B" w:rsidRPr="00084F43" w:rsidRDefault="005168B9" w:rsidP="00EB67CE">
      <w:pPr>
        <w:pBdr>
          <w:top w:val="nil"/>
          <w:left w:val="nil"/>
          <w:bottom w:val="nil"/>
          <w:right w:val="nil"/>
          <w:between w:val="nil"/>
        </w:pBdr>
        <w:tabs>
          <w:tab w:val="left" w:pos="432"/>
        </w:tabs>
        <w:spacing w:after="120" w:line="360" w:lineRule="auto"/>
        <w:jc w:val="both"/>
        <w:rPr>
          <w:rFonts w:asciiTheme="minorHAnsi" w:eastAsia="Arial" w:hAnsiTheme="minorHAnsi" w:cstheme="minorHAnsi"/>
          <w:color w:val="010000"/>
          <w:sz w:val="20"/>
          <w:szCs w:val="20"/>
        </w:rPr>
      </w:pPr>
      <w:r w:rsidRPr="00084F43">
        <w:rPr>
          <w:rFonts w:asciiTheme="minorHAnsi" w:hAnsiTheme="minorHAnsi" w:cstheme="minorHAnsi"/>
          <w:color w:val="010000"/>
          <w:sz w:val="20"/>
          <w:szCs w:val="20"/>
        </w:rPr>
        <w:t>Article 2:</w:t>
      </w:r>
    </w:p>
    <w:p w14:paraId="0000000A" w14:textId="43F1D696" w:rsidR="00CE1B9B" w:rsidRPr="00084F43" w:rsidRDefault="005168B9" w:rsidP="00EB67CE">
      <w:pPr>
        <w:pBdr>
          <w:top w:val="nil"/>
          <w:left w:val="nil"/>
          <w:bottom w:val="nil"/>
          <w:right w:val="nil"/>
          <w:between w:val="nil"/>
        </w:pBdr>
        <w:tabs>
          <w:tab w:val="left" w:pos="432"/>
        </w:tabs>
        <w:spacing w:after="120" w:line="360" w:lineRule="auto"/>
        <w:jc w:val="both"/>
        <w:rPr>
          <w:rFonts w:asciiTheme="minorHAnsi" w:eastAsia="Arial" w:hAnsiTheme="minorHAnsi" w:cstheme="minorHAnsi"/>
          <w:color w:val="010000"/>
          <w:sz w:val="20"/>
          <w:szCs w:val="20"/>
        </w:rPr>
      </w:pPr>
      <w:r w:rsidRPr="00084F43">
        <w:rPr>
          <w:rFonts w:asciiTheme="minorHAnsi" w:hAnsiTheme="minorHAnsi" w:cstheme="minorHAnsi"/>
          <w:color w:val="010000"/>
          <w:sz w:val="20"/>
          <w:szCs w:val="20"/>
        </w:rPr>
        <w:t>Assign Mr. Tu Trung Dan</w:t>
      </w:r>
      <w:r w:rsidR="00BD3083" w:rsidRPr="00084F43">
        <w:rPr>
          <w:rFonts w:asciiTheme="minorHAnsi" w:hAnsiTheme="minorHAnsi" w:cstheme="minorHAnsi"/>
          <w:color w:val="010000"/>
          <w:sz w:val="20"/>
          <w:szCs w:val="20"/>
        </w:rPr>
        <w:t xml:space="preserve"> </w:t>
      </w:r>
      <w:r w:rsidRPr="00084F43">
        <w:rPr>
          <w:rFonts w:asciiTheme="minorHAnsi" w:hAnsiTheme="minorHAnsi" w:cstheme="minorHAnsi"/>
          <w:color w:val="010000"/>
          <w:sz w:val="20"/>
          <w:szCs w:val="20"/>
        </w:rPr>
        <w:t>- Position: the General Manager</w:t>
      </w:r>
      <w:r w:rsidR="00BD3083" w:rsidRPr="00084F43">
        <w:rPr>
          <w:rFonts w:asciiTheme="minorHAnsi" w:hAnsiTheme="minorHAnsi" w:cstheme="minorHAnsi"/>
          <w:color w:val="010000"/>
          <w:sz w:val="20"/>
          <w:szCs w:val="20"/>
        </w:rPr>
        <w:t xml:space="preserve"> cum</w:t>
      </w:r>
      <w:r w:rsidRPr="00084F43">
        <w:rPr>
          <w:rFonts w:asciiTheme="minorHAnsi" w:hAnsiTheme="minorHAnsi" w:cstheme="minorHAnsi"/>
          <w:color w:val="010000"/>
          <w:sz w:val="20"/>
          <w:szCs w:val="20"/>
        </w:rPr>
        <w:t xml:space="preserve"> legal representative of Book and Educational Equipment JSC in Ho Chi Minh city to execute the aforementioned contents approved by the Board of Directors and sign agreements, contracts, and documents related to the Bank in pursuant to the </w:t>
      </w:r>
      <w:r w:rsidR="00BD3083" w:rsidRPr="00084F43">
        <w:rPr>
          <w:rFonts w:asciiTheme="minorHAnsi" w:hAnsiTheme="minorHAnsi" w:cstheme="minorHAnsi"/>
          <w:color w:val="010000"/>
          <w:sz w:val="20"/>
          <w:szCs w:val="20"/>
        </w:rPr>
        <w:t>provisions</w:t>
      </w:r>
      <w:r w:rsidRPr="00084F43">
        <w:rPr>
          <w:rFonts w:asciiTheme="minorHAnsi" w:hAnsiTheme="minorHAnsi" w:cstheme="minorHAnsi"/>
          <w:color w:val="010000"/>
          <w:sz w:val="20"/>
          <w:szCs w:val="20"/>
        </w:rPr>
        <w:t xml:space="preserve"> of law.</w:t>
      </w:r>
    </w:p>
    <w:p w14:paraId="0000000B" w14:textId="77777777" w:rsidR="00CE1B9B" w:rsidRPr="00084F43" w:rsidRDefault="005168B9" w:rsidP="00EB67CE">
      <w:pPr>
        <w:pBdr>
          <w:top w:val="nil"/>
          <w:left w:val="nil"/>
          <w:bottom w:val="nil"/>
          <w:right w:val="nil"/>
          <w:between w:val="nil"/>
        </w:pBdr>
        <w:tabs>
          <w:tab w:val="left" w:pos="432"/>
        </w:tabs>
        <w:spacing w:after="120" w:line="360" w:lineRule="auto"/>
        <w:jc w:val="both"/>
        <w:rPr>
          <w:rFonts w:asciiTheme="minorHAnsi" w:eastAsia="Arial" w:hAnsiTheme="minorHAnsi" w:cstheme="minorHAnsi"/>
          <w:color w:val="010000"/>
          <w:sz w:val="20"/>
          <w:szCs w:val="20"/>
        </w:rPr>
      </w:pPr>
      <w:r w:rsidRPr="00084F43">
        <w:rPr>
          <w:rFonts w:asciiTheme="minorHAnsi" w:hAnsiTheme="minorHAnsi" w:cstheme="minorHAnsi"/>
          <w:color w:val="010000"/>
          <w:sz w:val="20"/>
          <w:szCs w:val="20"/>
        </w:rPr>
        <w:t>Article 3:</w:t>
      </w:r>
    </w:p>
    <w:p w14:paraId="0000000C" w14:textId="77777777" w:rsidR="00CE1B9B" w:rsidRPr="00084F43" w:rsidRDefault="005168B9" w:rsidP="00EB67CE">
      <w:pPr>
        <w:pBdr>
          <w:top w:val="nil"/>
          <w:left w:val="nil"/>
          <w:bottom w:val="nil"/>
          <w:right w:val="nil"/>
          <w:between w:val="nil"/>
        </w:pBdr>
        <w:tabs>
          <w:tab w:val="left" w:pos="432"/>
        </w:tabs>
        <w:spacing w:after="120" w:line="360" w:lineRule="auto"/>
        <w:jc w:val="both"/>
        <w:rPr>
          <w:rFonts w:asciiTheme="minorHAnsi" w:eastAsia="Arial" w:hAnsiTheme="minorHAnsi" w:cstheme="minorHAnsi"/>
          <w:color w:val="010000"/>
          <w:sz w:val="20"/>
          <w:szCs w:val="20"/>
        </w:rPr>
      </w:pPr>
      <w:r w:rsidRPr="00084F43">
        <w:rPr>
          <w:rFonts w:asciiTheme="minorHAnsi" w:hAnsiTheme="minorHAnsi" w:cstheme="minorHAnsi"/>
          <w:color w:val="010000"/>
          <w:sz w:val="20"/>
          <w:szCs w:val="20"/>
        </w:rPr>
        <w:t>This Resolution takes effect from the date of signing. Members of the Board of Directors, the Board of Management of the Company and relevant individuals are responsible for implementing this Resolution.</w:t>
      </w:r>
    </w:p>
    <w:sectPr w:rsidR="00CE1B9B" w:rsidRPr="00084F43" w:rsidSect="00044DF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E45F0"/>
    <w:multiLevelType w:val="multilevel"/>
    <w:tmpl w:val="88C4383E"/>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B9B"/>
    <w:rsid w:val="00044DFF"/>
    <w:rsid w:val="00084F43"/>
    <w:rsid w:val="005168B9"/>
    <w:rsid w:val="008B4C56"/>
    <w:rsid w:val="00BD3083"/>
    <w:rsid w:val="00CE1B9B"/>
    <w:rsid w:val="00EB67C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B4131"/>
  <w15:docId w15:val="{0BFA1CA0-E67B-468E-8541-3F9E9AAB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color w:val="CF466E"/>
      <w:sz w:val="28"/>
      <w:szCs w:val="28"/>
      <w:u w:val="none"/>
      <w:shd w:val="clear" w:color="auto" w:fill="auto"/>
    </w:rPr>
  </w:style>
  <w:style w:type="paragraph" w:customStyle="1" w:styleId="Vnbnnidung0">
    <w:name w:val="Văn bản nội dung"/>
    <w:basedOn w:val="Normal"/>
    <w:link w:val="Vnbnnidung"/>
    <w:pPr>
      <w:spacing w:line="293" w:lineRule="auto"/>
      <w:ind w:firstLine="400"/>
    </w:pPr>
    <w:rPr>
      <w:rFonts w:ascii="Times New Roman" w:eastAsia="Times New Roman" w:hAnsi="Times New Roman" w:cs="Times New Roman"/>
    </w:rPr>
  </w:style>
  <w:style w:type="paragraph" w:customStyle="1" w:styleId="Khc0">
    <w:name w:val="Khác"/>
    <w:basedOn w:val="Normal"/>
    <w:link w:val="Khc"/>
    <w:pPr>
      <w:spacing w:line="293" w:lineRule="auto"/>
      <w:ind w:firstLine="400"/>
    </w:pPr>
    <w:rPr>
      <w:rFonts w:ascii="Times New Roman" w:eastAsia="Times New Roman" w:hAnsi="Times New Roman" w:cs="Times New Roman"/>
    </w:rPr>
  </w:style>
  <w:style w:type="paragraph" w:customStyle="1" w:styleId="Tiu10">
    <w:name w:val="Tiêu đề #1"/>
    <w:basedOn w:val="Normal"/>
    <w:link w:val="Tiu1"/>
    <w:pPr>
      <w:outlineLvl w:val="0"/>
    </w:pPr>
    <w:rPr>
      <w:rFonts w:ascii="Arial" w:eastAsia="Arial" w:hAnsi="Arial" w:cs="Arial"/>
      <w:color w:val="CF466E"/>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copy">
    <w:name w:val="copy"/>
    <w:basedOn w:val="DefaultParagraphFont"/>
    <w:rsid w:val="00BD3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1xuceykLg965k6BMV4Se73fkXA==">CgMxLjA4AHIhMWxRalFXRjJYZDFiRXVnMWZKS3didGVUSkJXY3UxbmRO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2024-04-17T03:47:00Z</dcterms:created>
  <dcterms:modified xsi:type="dcterms:W3CDTF">2024-04-19T04:12:00Z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63bd98f62bd559354e545b3176127a53e74ccc7e42603bb2a5912a89024f5275</vt:lpwstr>
  </property>
</Properties>
</file>