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CECB0"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b/>
          <w:color w:val="010000"/>
          <w:sz w:val="20"/>
          <w:szCs w:val="20"/>
        </w:rPr>
      </w:pPr>
      <w:r w:rsidRPr="004B4C90">
        <w:rPr>
          <w:rFonts w:ascii="Arial" w:hAnsi="Arial" w:cs="Arial"/>
          <w:b/>
          <w:color w:val="010000"/>
          <w:sz w:val="20"/>
          <w:szCs w:val="20"/>
        </w:rPr>
        <w:t>BSR: Board Decision</w:t>
      </w:r>
    </w:p>
    <w:p w14:paraId="02510C1C" w14:textId="15E83BD3"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On March 28, 2024, </w:t>
      </w:r>
      <w:proofErr w:type="spellStart"/>
      <w:r w:rsidRPr="004B4C90">
        <w:rPr>
          <w:rFonts w:ascii="Arial" w:hAnsi="Arial" w:cs="Arial"/>
          <w:color w:val="010000"/>
          <w:sz w:val="20"/>
          <w:szCs w:val="20"/>
        </w:rPr>
        <w:t>Binh</w:t>
      </w:r>
      <w:proofErr w:type="spellEnd"/>
      <w:r w:rsidRPr="004B4C90">
        <w:rPr>
          <w:rFonts w:ascii="Arial" w:hAnsi="Arial" w:cs="Arial"/>
          <w:color w:val="010000"/>
          <w:sz w:val="20"/>
          <w:szCs w:val="20"/>
        </w:rPr>
        <w:t xml:space="preserve"> Son Refining and Petrochemical Joint Stock Company announced Decision No. 968/QD-BSR on approving the adjustment of the Project on upgrading and expanding the Dung </w:t>
      </w:r>
      <w:proofErr w:type="spellStart"/>
      <w:r w:rsidRPr="004B4C90">
        <w:rPr>
          <w:rFonts w:ascii="Arial" w:hAnsi="Arial" w:cs="Arial"/>
          <w:color w:val="010000"/>
          <w:sz w:val="20"/>
          <w:szCs w:val="20"/>
        </w:rPr>
        <w:t>Quat</w:t>
      </w:r>
      <w:proofErr w:type="spellEnd"/>
      <w:r w:rsidRPr="004B4C90">
        <w:rPr>
          <w:rFonts w:ascii="Arial" w:hAnsi="Arial" w:cs="Arial"/>
          <w:color w:val="010000"/>
          <w:sz w:val="20"/>
          <w:szCs w:val="20"/>
        </w:rPr>
        <w:t xml:space="preserve"> Oil Refinery as follows:</w:t>
      </w:r>
    </w:p>
    <w:p w14:paraId="7A4A3E7F"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‎‎Article 1. Approve the adjustment of the Project on upgrading and expanding the Dung </w:t>
      </w:r>
      <w:proofErr w:type="spellStart"/>
      <w:r w:rsidRPr="004B4C90">
        <w:rPr>
          <w:rFonts w:ascii="Arial" w:hAnsi="Arial" w:cs="Arial"/>
          <w:color w:val="010000"/>
          <w:sz w:val="20"/>
          <w:szCs w:val="20"/>
        </w:rPr>
        <w:t>Quat</w:t>
      </w:r>
      <w:proofErr w:type="spellEnd"/>
      <w:r w:rsidRPr="004B4C90">
        <w:rPr>
          <w:rFonts w:ascii="Arial" w:hAnsi="Arial" w:cs="Arial"/>
          <w:color w:val="010000"/>
          <w:sz w:val="20"/>
          <w:szCs w:val="20"/>
        </w:rPr>
        <w:t xml:space="preserve"> Oil Refinery with the following main contents:</w:t>
      </w:r>
    </w:p>
    <w:p w14:paraId="0D4C946A" w14:textId="77777777" w:rsidR="001C7F76" w:rsidRPr="004B4C90" w:rsidRDefault="000B46C8" w:rsidP="004B4C90">
      <w:pPr>
        <w:numPr>
          <w:ilvl w:val="0"/>
          <w:numId w:val="1"/>
        </w:numPr>
        <w:pBdr>
          <w:top w:val="nil"/>
          <w:left w:val="nil"/>
          <w:bottom w:val="nil"/>
          <w:right w:val="nil"/>
          <w:between w:val="nil"/>
        </w:pBdr>
        <w:tabs>
          <w:tab w:val="left" w:pos="450"/>
          <w:tab w:val="left" w:pos="127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Project’s name: Project on upgrading and expanding the Dung </w:t>
      </w:r>
      <w:proofErr w:type="spellStart"/>
      <w:r w:rsidRPr="004B4C90">
        <w:rPr>
          <w:rFonts w:ascii="Arial" w:hAnsi="Arial" w:cs="Arial"/>
          <w:color w:val="010000"/>
          <w:sz w:val="20"/>
          <w:szCs w:val="20"/>
        </w:rPr>
        <w:t>Quat</w:t>
      </w:r>
      <w:proofErr w:type="spellEnd"/>
      <w:r w:rsidRPr="004B4C90">
        <w:rPr>
          <w:rFonts w:ascii="Arial" w:hAnsi="Arial" w:cs="Arial"/>
          <w:color w:val="010000"/>
          <w:sz w:val="20"/>
          <w:szCs w:val="20"/>
        </w:rPr>
        <w:t xml:space="preserve"> Oil Refinery (adjusted Project)</w:t>
      </w:r>
    </w:p>
    <w:p w14:paraId="4DE65DE1" w14:textId="77777777" w:rsidR="001C7F76" w:rsidRPr="004B4C90" w:rsidRDefault="000B46C8" w:rsidP="004B4C90">
      <w:pPr>
        <w:numPr>
          <w:ilvl w:val="0"/>
          <w:numId w:val="1"/>
        </w:numPr>
        <w:pBdr>
          <w:top w:val="nil"/>
          <w:left w:val="nil"/>
          <w:bottom w:val="nil"/>
          <w:right w:val="nil"/>
          <w:between w:val="nil"/>
        </w:pBdr>
        <w:tabs>
          <w:tab w:val="left" w:pos="450"/>
          <w:tab w:val="left" w:pos="127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The persons who decided to invest: The General Meeting of Shareholders of </w:t>
      </w:r>
      <w:proofErr w:type="spellStart"/>
      <w:r w:rsidRPr="004B4C90">
        <w:rPr>
          <w:rFonts w:ascii="Arial" w:hAnsi="Arial" w:cs="Arial"/>
          <w:color w:val="010000"/>
          <w:sz w:val="20"/>
          <w:szCs w:val="20"/>
        </w:rPr>
        <w:t>Binh</w:t>
      </w:r>
      <w:proofErr w:type="spellEnd"/>
      <w:r w:rsidRPr="004B4C90">
        <w:rPr>
          <w:rFonts w:ascii="Arial" w:hAnsi="Arial" w:cs="Arial"/>
          <w:color w:val="010000"/>
          <w:sz w:val="20"/>
          <w:szCs w:val="20"/>
        </w:rPr>
        <w:t xml:space="preserve"> Son Refining and Petrochemical Joint Stock Company</w:t>
      </w:r>
    </w:p>
    <w:p w14:paraId="19AC637F" w14:textId="77777777" w:rsidR="001C7F76" w:rsidRPr="004B4C90" w:rsidRDefault="000B46C8" w:rsidP="004B4C90">
      <w:pPr>
        <w:numPr>
          <w:ilvl w:val="0"/>
          <w:numId w:val="1"/>
        </w:numPr>
        <w:pBdr>
          <w:top w:val="nil"/>
          <w:left w:val="nil"/>
          <w:bottom w:val="nil"/>
          <w:right w:val="nil"/>
          <w:between w:val="nil"/>
        </w:pBdr>
        <w:tabs>
          <w:tab w:val="left" w:pos="450"/>
          <w:tab w:val="left" w:pos="1254"/>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Investor: </w:t>
      </w:r>
      <w:proofErr w:type="spellStart"/>
      <w:r w:rsidRPr="004B4C90">
        <w:rPr>
          <w:rFonts w:ascii="Arial" w:hAnsi="Arial" w:cs="Arial"/>
          <w:color w:val="010000"/>
          <w:sz w:val="20"/>
          <w:szCs w:val="20"/>
        </w:rPr>
        <w:t>Binh</w:t>
      </w:r>
      <w:proofErr w:type="spellEnd"/>
      <w:r w:rsidRPr="004B4C90">
        <w:rPr>
          <w:rFonts w:ascii="Arial" w:hAnsi="Arial" w:cs="Arial"/>
          <w:color w:val="010000"/>
          <w:sz w:val="20"/>
          <w:szCs w:val="20"/>
        </w:rPr>
        <w:t xml:space="preserve"> Son Refining and Petrochemical Joint Stock Company (BSR)</w:t>
      </w:r>
    </w:p>
    <w:p w14:paraId="0571C20D" w14:textId="77777777" w:rsidR="001C7F76" w:rsidRPr="004B4C90" w:rsidRDefault="000B46C8" w:rsidP="004B4C90">
      <w:pPr>
        <w:numPr>
          <w:ilvl w:val="0"/>
          <w:numId w:val="1"/>
        </w:numPr>
        <w:pBdr>
          <w:top w:val="nil"/>
          <w:left w:val="nil"/>
          <w:bottom w:val="nil"/>
          <w:right w:val="nil"/>
          <w:between w:val="nil"/>
        </w:pBdr>
        <w:tabs>
          <w:tab w:val="left" w:pos="450"/>
          <w:tab w:val="left" w:pos="1254"/>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Targets and scale of the construction investment:</w:t>
      </w:r>
    </w:p>
    <w:p w14:paraId="782E2810" w14:textId="77777777" w:rsidR="001C7F76" w:rsidRPr="004B4C90" w:rsidRDefault="000B46C8" w:rsidP="004B4C90">
      <w:pPr>
        <w:numPr>
          <w:ilvl w:val="1"/>
          <w:numId w:val="1"/>
        </w:numPr>
        <w:pBdr>
          <w:top w:val="nil"/>
          <w:left w:val="nil"/>
          <w:bottom w:val="nil"/>
          <w:right w:val="nil"/>
          <w:between w:val="nil"/>
        </w:pBdr>
        <w:tabs>
          <w:tab w:val="left" w:pos="450"/>
          <w:tab w:val="left" w:pos="1264"/>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Targets of the investment:</w:t>
      </w:r>
    </w:p>
    <w:p w14:paraId="1DC3E89F"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Invest to upgrade and expand the existing Dung </w:t>
      </w:r>
      <w:proofErr w:type="spellStart"/>
      <w:r w:rsidRPr="004B4C90">
        <w:rPr>
          <w:rFonts w:ascii="Arial" w:hAnsi="Arial" w:cs="Arial"/>
          <w:color w:val="010000"/>
          <w:sz w:val="20"/>
          <w:szCs w:val="20"/>
        </w:rPr>
        <w:t>Quat</w:t>
      </w:r>
      <w:proofErr w:type="spellEnd"/>
      <w:r w:rsidRPr="004B4C90">
        <w:rPr>
          <w:rFonts w:ascii="Arial" w:hAnsi="Arial" w:cs="Arial"/>
          <w:color w:val="010000"/>
          <w:sz w:val="20"/>
          <w:szCs w:val="20"/>
        </w:rPr>
        <w:t xml:space="preserve"> Oil Refinery to:</w:t>
      </w:r>
    </w:p>
    <w:p w14:paraId="7FBFEA82" w14:textId="77777777" w:rsidR="001C7F76" w:rsidRPr="004B4C90" w:rsidRDefault="000B46C8" w:rsidP="004B4C90">
      <w:pPr>
        <w:numPr>
          <w:ilvl w:val="0"/>
          <w:numId w:val="2"/>
        </w:numPr>
        <w:pBdr>
          <w:top w:val="nil"/>
          <w:left w:val="nil"/>
          <w:bottom w:val="nil"/>
          <w:right w:val="nil"/>
          <w:between w:val="nil"/>
        </w:pBdr>
        <w:tabs>
          <w:tab w:val="left" w:pos="450"/>
          <w:tab w:val="left" w:pos="127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Increase the processing capacity of the Refinery from 148,000 tanks/day to 171,000 tanks/day</w:t>
      </w:r>
    </w:p>
    <w:p w14:paraId="009479C3" w14:textId="77777777" w:rsidR="001C7F76" w:rsidRPr="004B4C90" w:rsidRDefault="000B46C8" w:rsidP="004B4C90">
      <w:pPr>
        <w:numPr>
          <w:ilvl w:val="0"/>
          <w:numId w:val="2"/>
        </w:numPr>
        <w:pBdr>
          <w:top w:val="nil"/>
          <w:left w:val="nil"/>
          <w:bottom w:val="nil"/>
          <w:right w:val="nil"/>
          <w:between w:val="nil"/>
        </w:pBdr>
        <w:tabs>
          <w:tab w:val="left" w:pos="450"/>
          <w:tab w:val="left" w:pos="127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The products meet EURO V standards;</w:t>
      </w:r>
    </w:p>
    <w:p w14:paraId="5B0FDD1E" w14:textId="77777777" w:rsidR="001C7F76" w:rsidRPr="004B4C90" w:rsidRDefault="000B46C8" w:rsidP="004B4C90">
      <w:pPr>
        <w:numPr>
          <w:ilvl w:val="0"/>
          <w:numId w:val="2"/>
        </w:numPr>
        <w:pBdr>
          <w:top w:val="nil"/>
          <w:left w:val="nil"/>
          <w:bottom w:val="nil"/>
          <w:right w:val="nil"/>
          <w:between w:val="nil"/>
        </w:pBdr>
        <w:tabs>
          <w:tab w:val="left" w:pos="450"/>
          <w:tab w:val="left" w:pos="127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Meet the environmental standards according to the mandatory roadmap of the Government;</w:t>
      </w:r>
    </w:p>
    <w:p w14:paraId="0AA2B958" w14:textId="77777777" w:rsidR="001C7F76" w:rsidRPr="004B4C90" w:rsidRDefault="000B46C8" w:rsidP="004B4C90">
      <w:pPr>
        <w:numPr>
          <w:ilvl w:val="0"/>
          <w:numId w:val="2"/>
        </w:numPr>
        <w:pBdr>
          <w:top w:val="nil"/>
          <w:left w:val="nil"/>
          <w:bottom w:val="nil"/>
          <w:right w:val="nil"/>
          <w:between w:val="nil"/>
        </w:pBdr>
        <w:tabs>
          <w:tab w:val="left" w:pos="450"/>
          <w:tab w:val="left" w:pos="127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Increase the flexibility in crude oil selection, ensuring the long-term and effective crude oil supply for the Refinery;</w:t>
      </w:r>
    </w:p>
    <w:p w14:paraId="1FAD2410" w14:textId="77777777" w:rsidR="001C7F76" w:rsidRPr="004B4C90" w:rsidRDefault="000B46C8" w:rsidP="004B4C90">
      <w:pPr>
        <w:numPr>
          <w:ilvl w:val="0"/>
          <w:numId w:val="2"/>
        </w:numPr>
        <w:pBdr>
          <w:top w:val="nil"/>
          <w:left w:val="nil"/>
          <w:bottom w:val="nil"/>
          <w:right w:val="nil"/>
          <w:between w:val="nil"/>
        </w:pBdr>
        <w:tabs>
          <w:tab w:val="left" w:pos="450"/>
          <w:tab w:val="left" w:pos="127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Increase the efficiency of the investment in the Dung </w:t>
      </w:r>
      <w:proofErr w:type="spellStart"/>
      <w:r w:rsidRPr="004B4C90">
        <w:rPr>
          <w:rFonts w:ascii="Arial" w:hAnsi="Arial" w:cs="Arial"/>
          <w:color w:val="010000"/>
          <w:sz w:val="20"/>
          <w:szCs w:val="20"/>
        </w:rPr>
        <w:t>Quat</w:t>
      </w:r>
      <w:proofErr w:type="spellEnd"/>
      <w:r w:rsidRPr="004B4C90">
        <w:rPr>
          <w:rFonts w:ascii="Arial" w:hAnsi="Arial" w:cs="Arial"/>
          <w:color w:val="010000"/>
          <w:sz w:val="20"/>
          <w:szCs w:val="20"/>
        </w:rPr>
        <w:t xml:space="preserve"> Oil Refinery</w:t>
      </w:r>
    </w:p>
    <w:p w14:paraId="504D2B0A" w14:textId="77777777" w:rsidR="001C7F76" w:rsidRPr="004B4C90" w:rsidRDefault="000B46C8" w:rsidP="004B4C90">
      <w:pPr>
        <w:numPr>
          <w:ilvl w:val="0"/>
          <w:numId w:val="2"/>
        </w:numPr>
        <w:pBdr>
          <w:top w:val="nil"/>
          <w:left w:val="nil"/>
          <w:bottom w:val="nil"/>
          <w:right w:val="nil"/>
          <w:between w:val="nil"/>
        </w:pBdr>
        <w:tabs>
          <w:tab w:val="left" w:pos="450"/>
          <w:tab w:val="left" w:pos="127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Contribute to promoting the economic and social development of the whole nation, especially for the Central region </w:t>
      </w:r>
    </w:p>
    <w:p w14:paraId="3B79056F" w14:textId="77777777" w:rsidR="001C7F76" w:rsidRPr="004B4C90" w:rsidRDefault="000B46C8" w:rsidP="004B4C90">
      <w:pPr>
        <w:numPr>
          <w:ilvl w:val="1"/>
          <w:numId w:val="1"/>
        </w:numPr>
        <w:pBdr>
          <w:top w:val="nil"/>
          <w:left w:val="nil"/>
          <w:bottom w:val="nil"/>
          <w:right w:val="nil"/>
          <w:between w:val="nil"/>
        </w:pBdr>
        <w:tabs>
          <w:tab w:val="left" w:pos="450"/>
          <w:tab w:val="left" w:pos="1264"/>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Investment scale:</w:t>
      </w:r>
    </w:p>
    <w:p w14:paraId="2CD25542"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Investment scale: Supplement and upgrade the industrial, auxiliary, and peripheral units to meet the capacity of 171,000 tanks/day, including:</w:t>
      </w:r>
    </w:p>
    <w:p w14:paraId="1C1D87F7" w14:textId="77777777" w:rsidR="001C7F76" w:rsidRPr="004B4C90" w:rsidRDefault="000B46C8" w:rsidP="004B4C90">
      <w:pPr>
        <w:numPr>
          <w:ilvl w:val="0"/>
          <w:numId w:val="3"/>
        </w:numPr>
        <w:pBdr>
          <w:top w:val="nil"/>
          <w:left w:val="nil"/>
          <w:bottom w:val="nil"/>
          <w:right w:val="nil"/>
          <w:between w:val="nil"/>
        </w:pBdr>
        <w:tabs>
          <w:tab w:val="left" w:pos="450"/>
          <w:tab w:val="left" w:pos="127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Supplement 05 units with new copyrighted technology, including: 1) Gasoline Hydro-treating unit (GHDT); (2) Diesel hydro-treating unit (DHDT); (3) Alkylation unit (ALK); (4) Hydrogen generation unit (HGU); (5) Sulfur recovery unit (SRU3/4)</w:t>
      </w:r>
    </w:p>
    <w:p w14:paraId="33F5D10B" w14:textId="77777777" w:rsidR="001C7F76" w:rsidRPr="004B4C90" w:rsidRDefault="000B46C8" w:rsidP="004B4C90">
      <w:pPr>
        <w:numPr>
          <w:ilvl w:val="0"/>
          <w:numId w:val="3"/>
        </w:numPr>
        <w:pBdr>
          <w:top w:val="nil"/>
          <w:left w:val="nil"/>
          <w:bottom w:val="nil"/>
          <w:right w:val="nil"/>
          <w:between w:val="nil"/>
        </w:pBdr>
        <w:tabs>
          <w:tab w:val="left" w:pos="450"/>
          <w:tab w:val="left" w:pos="127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Supplement 02 units without copyrighted technology, including: (1) Sour water stripped acid gas unit (SWS2) and (2) Amine regenerator unit (ARU2)</w:t>
      </w:r>
    </w:p>
    <w:p w14:paraId="78616351" w14:textId="5785955F" w:rsidR="001C7F76" w:rsidRPr="004B4C90" w:rsidRDefault="000B46C8" w:rsidP="004B4C90">
      <w:pPr>
        <w:numPr>
          <w:ilvl w:val="0"/>
          <w:numId w:val="3"/>
        </w:numPr>
        <w:pBdr>
          <w:top w:val="nil"/>
          <w:left w:val="nil"/>
          <w:bottom w:val="nil"/>
          <w:right w:val="nil"/>
          <w:between w:val="nil"/>
        </w:pBdr>
        <w:tabs>
          <w:tab w:val="left" w:pos="450"/>
          <w:tab w:val="left" w:pos="127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Workshops that need to be adjusted and converted:</w:t>
      </w:r>
      <w:r w:rsidR="0010311F" w:rsidRPr="004B4C90">
        <w:rPr>
          <w:rFonts w:ascii="Arial" w:hAnsi="Arial" w:cs="Arial"/>
          <w:color w:val="010000"/>
          <w:sz w:val="20"/>
          <w:szCs w:val="20"/>
        </w:rPr>
        <w:t xml:space="preserve"> </w:t>
      </w:r>
      <w:r w:rsidRPr="004B4C90">
        <w:rPr>
          <w:rFonts w:ascii="Arial" w:hAnsi="Arial" w:cs="Arial"/>
          <w:color w:val="010000"/>
          <w:sz w:val="20"/>
          <w:szCs w:val="20"/>
        </w:rPr>
        <w:t xml:space="preserve">(1) Crude oil Distillation Unit (CDU); (2) Residue Fluid Catalytic Cracking (RFCC); (3) Naphtha </w:t>
      </w:r>
      <w:proofErr w:type="spellStart"/>
      <w:r w:rsidRPr="004B4C90">
        <w:rPr>
          <w:rFonts w:ascii="Arial" w:hAnsi="Arial" w:cs="Arial"/>
          <w:color w:val="010000"/>
          <w:sz w:val="20"/>
          <w:szCs w:val="20"/>
        </w:rPr>
        <w:t>Hydrotreater</w:t>
      </w:r>
      <w:proofErr w:type="spellEnd"/>
      <w:r w:rsidRPr="004B4C90">
        <w:rPr>
          <w:rFonts w:ascii="Arial" w:hAnsi="Arial" w:cs="Arial"/>
          <w:color w:val="010000"/>
          <w:sz w:val="20"/>
          <w:szCs w:val="20"/>
        </w:rPr>
        <w:t xml:space="preserve"> unit (NHT); (4) Isomerization unit (ISOM); (5) Continuous Catalyst Regeneration (CCR); (6) Propylene Recovery Unit (PRU); (7) Kerosene treatment unit (KTU); (8) LGP Treatment unit (LTU); (9) Light Cycle Oil Hydro-treating unit; (10) Caustic Neutralization Unit (CNU); etc. The level of adjustment and conversion of those units </w:t>
      </w:r>
      <w:r w:rsidRPr="004B4C90">
        <w:rPr>
          <w:rFonts w:ascii="Arial" w:hAnsi="Arial" w:cs="Arial"/>
          <w:color w:val="010000"/>
          <w:sz w:val="20"/>
          <w:szCs w:val="20"/>
        </w:rPr>
        <w:lastRenderedPageBreak/>
        <w:t>depends on the change in materials and capacity.</w:t>
      </w:r>
    </w:p>
    <w:p w14:paraId="4B2C0FD7" w14:textId="77777777" w:rsidR="001C7F76" w:rsidRPr="004B4C90" w:rsidRDefault="000B46C8" w:rsidP="004B4C90">
      <w:pPr>
        <w:numPr>
          <w:ilvl w:val="0"/>
          <w:numId w:val="3"/>
        </w:numPr>
        <w:pBdr>
          <w:top w:val="nil"/>
          <w:left w:val="nil"/>
          <w:bottom w:val="nil"/>
          <w:right w:val="nil"/>
          <w:between w:val="nil"/>
        </w:pBdr>
        <w:tabs>
          <w:tab w:val="left" w:pos="450"/>
          <w:tab w:val="left" w:pos="127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Auxiliary and peripheral units Implement the conversion and new installation of some items, </w:t>
      </w:r>
      <w:proofErr w:type="spellStart"/>
      <w:r w:rsidRPr="004B4C90">
        <w:rPr>
          <w:rFonts w:ascii="Arial" w:hAnsi="Arial" w:cs="Arial"/>
          <w:color w:val="010000"/>
          <w:sz w:val="20"/>
          <w:szCs w:val="20"/>
        </w:rPr>
        <w:t>equipments</w:t>
      </w:r>
      <w:proofErr w:type="spellEnd"/>
      <w:r w:rsidRPr="004B4C90">
        <w:rPr>
          <w:rFonts w:ascii="Arial" w:hAnsi="Arial" w:cs="Arial"/>
          <w:color w:val="010000"/>
          <w:sz w:val="20"/>
          <w:szCs w:val="20"/>
        </w:rPr>
        <w:t xml:space="preserve"> or units cluster to meet the increasing capacity of the refinery</w:t>
      </w:r>
    </w:p>
    <w:p w14:paraId="746876DB" w14:textId="77777777" w:rsidR="001C7F76" w:rsidRPr="004B4C90" w:rsidRDefault="000B46C8" w:rsidP="004B4C90">
      <w:pPr>
        <w:numPr>
          <w:ilvl w:val="1"/>
          <w:numId w:val="1"/>
        </w:numPr>
        <w:pBdr>
          <w:top w:val="nil"/>
          <w:left w:val="nil"/>
          <w:bottom w:val="nil"/>
          <w:right w:val="nil"/>
          <w:between w:val="nil"/>
        </w:pBdr>
        <w:tabs>
          <w:tab w:val="left" w:pos="450"/>
          <w:tab w:val="left" w:pos="1276"/>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Technology configuration, capacity:</w:t>
      </w:r>
    </w:p>
    <w:p w14:paraId="66A4A1E6" w14:textId="77777777" w:rsidR="001C7F76" w:rsidRPr="004B4C90" w:rsidRDefault="000B46C8" w:rsidP="004B4C90">
      <w:pPr>
        <w:numPr>
          <w:ilvl w:val="0"/>
          <w:numId w:val="5"/>
        </w:numPr>
        <w:pBdr>
          <w:top w:val="nil"/>
          <w:left w:val="nil"/>
          <w:bottom w:val="nil"/>
          <w:right w:val="nil"/>
          <w:between w:val="nil"/>
        </w:pBdr>
        <w:tabs>
          <w:tab w:val="left" w:pos="450"/>
          <w:tab w:val="left" w:pos="129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Design of the crude oil Azeri BTC 53% + ESPO 47% or equivalent crude oil mixture The ratio of crude oil will be optimized and refined when the FEED design, the detailed design in EPC phase, is adjusted/updated</w:t>
      </w:r>
    </w:p>
    <w:p w14:paraId="54E3D596" w14:textId="77777777" w:rsidR="001C7F76" w:rsidRPr="004B4C90" w:rsidRDefault="000B46C8" w:rsidP="004B4C90">
      <w:pPr>
        <w:numPr>
          <w:ilvl w:val="0"/>
          <w:numId w:val="5"/>
        </w:numPr>
        <w:pBdr>
          <w:top w:val="nil"/>
          <w:left w:val="nil"/>
          <w:bottom w:val="nil"/>
          <w:right w:val="nil"/>
          <w:between w:val="nil"/>
        </w:pBdr>
        <w:tabs>
          <w:tab w:val="left" w:pos="450"/>
          <w:tab w:val="left" w:pos="129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The capacity of the refinery: 171,000 tanks/day (equivalent to 116% compared to the current capacity); the oil and petrol products after the upgrade and expansion will meet the Euro V standards; the production output structure includes:</w:t>
      </w:r>
    </w:p>
    <w:tbl>
      <w:tblPr>
        <w:tblStyle w:val="a"/>
        <w:tblW w:w="5000" w:type="pct"/>
        <w:tblLook w:val="0400" w:firstRow="0" w:lastRow="0" w:firstColumn="0" w:lastColumn="0" w:noHBand="0" w:noVBand="1"/>
      </w:tblPr>
      <w:tblGrid>
        <w:gridCol w:w="737"/>
        <w:gridCol w:w="3203"/>
        <w:gridCol w:w="1609"/>
        <w:gridCol w:w="1609"/>
        <w:gridCol w:w="1859"/>
      </w:tblGrid>
      <w:tr w:rsidR="001C7F76" w:rsidRPr="004B4C90" w14:paraId="53D34B87" w14:textId="77777777" w:rsidTr="0010311F">
        <w:tc>
          <w:tcPr>
            <w:tcW w:w="409" w:type="pct"/>
            <w:vMerge w:val="restart"/>
            <w:tcBorders>
              <w:top w:val="single" w:sz="4" w:space="0" w:color="000000"/>
              <w:left w:val="single" w:sz="4" w:space="0" w:color="000000"/>
            </w:tcBorders>
            <w:shd w:val="clear" w:color="auto" w:fill="auto"/>
            <w:tcMar>
              <w:top w:w="0" w:type="dxa"/>
              <w:bottom w:w="0" w:type="dxa"/>
            </w:tcMar>
            <w:vAlign w:val="center"/>
          </w:tcPr>
          <w:p w14:paraId="4385BDF3" w14:textId="77777777" w:rsidR="001C7F76" w:rsidRPr="004B4C90" w:rsidRDefault="000B46C8" w:rsidP="00EB68C1">
            <w:pPr>
              <w:pBdr>
                <w:top w:val="nil"/>
                <w:left w:val="nil"/>
                <w:bottom w:val="nil"/>
                <w:right w:val="nil"/>
                <w:between w:val="nil"/>
              </w:pBdr>
              <w:tabs>
                <w:tab w:val="left" w:pos="450"/>
              </w:tabs>
              <w:spacing w:after="120" w:line="360" w:lineRule="auto"/>
              <w:jc w:val="right"/>
              <w:rPr>
                <w:rFonts w:ascii="Arial" w:eastAsia="Arial" w:hAnsi="Arial" w:cs="Arial"/>
                <w:color w:val="010000"/>
                <w:sz w:val="20"/>
                <w:szCs w:val="20"/>
              </w:rPr>
            </w:pPr>
            <w:r w:rsidRPr="004B4C90">
              <w:rPr>
                <w:rFonts w:ascii="Arial" w:hAnsi="Arial" w:cs="Arial"/>
                <w:color w:val="010000"/>
                <w:sz w:val="20"/>
                <w:szCs w:val="20"/>
              </w:rPr>
              <w:t>No.</w:t>
            </w:r>
          </w:p>
        </w:tc>
        <w:tc>
          <w:tcPr>
            <w:tcW w:w="1776" w:type="pct"/>
            <w:vMerge w:val="restart"/>
            <w:tcBorders>
              <w:top w:val="single" w:sz="4" w:space="0" w:color="000000"/>
              <w:left w:val="single" w:sz="4" w:space="0" w:color="000000"/>
            </w:tcBorders>
            <w:shd w:val="clear" w:color="auto" w:fill="auto"/>
            <w:tcMar>
              <w:top w:w="0" w:type="dxa"/>
              <w:bottom w:w="0" w:type="dxa"/>
            </w:tcMar>
            <w:vAlign w:val="center"/>
          </w:tcPr>
          <w:p w14:paraId="7CD4E0AD" w14:textId="77777777" w:rsidR="001C7F76" w:rsidRPr="004B4C90" w:rsidRDefault="000B46C8" w:rsidP="00EB68C1">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Product</w:t>
            </w:r>
          </w:p>
        </w:tc>
        <w:tc>
          <w:tcPr>
            <w:tcW w:w="892" w:type="pct"/>
            <w:vMerge w:val="restart"/>
            <w:tcBorders>
              <w:top w:val="single" w:sz="4" w:space="0" w:color="000000"/>
              <w:left w:val="single" w:sz="4" w:space="0" w:color="000000"/>
            </w:tcBorders>
            <w:shd w:val="clear" w:color="auto" w:fill="auto"/>
            <w:tcMar>
              <w:top w:w="0" w:type="dxa"/>
              <w:bottom w:w="0" w:type="dxa"/>
            </w:tcMar>
            <w:vAlign w:val="center"/>
          </w:tcPr>
          <w:p w14:paraId="0DBC3F0B" w14:textId="77777777" w:rsidR="001C7F76" w:rsidRPr="004B4C90" w:rsidRDefault="000B46C8" w:rsidP="00EB68C1">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Unit per day</w:t>
            </w:r>
          </w:p>
        </w:tc>
        <w:tc>
          <w:tcPr>
            <w:tcW w:w="1923"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09CB3595" w14:textId="77777777" w:rsidR="001C7F76" w:rsidRPr="004B4C90" w:rsidRDefault="000B46C8" w:rsidP="00EB68C1">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Capacity</w:t>
            </w:r>
          </w:p>
        </w:tc>
      </w:tr>
      <w:tr w:rsidR="001C7F76" w:rsidRPr="004B4C90" w14:paraId="0323557C" w14:textId="77777777" w:rsidTr="0010311F">
        <w:tc>
          <w:tcPr>
            <w:tcW w:w="409" w:type="pct"/>
            <w:vMerge/>
            <w:tcBorders>
              <w:top w:val="single" w:sz="4" w:space="0" w:color="000000"/>
              <w:left w:val="single" w:sz="4" w:space="0" w:color="000000"/>
            </w:tcBorders>
            <w:shd w:val="clear" w:color="auto" w:fill="auto"/>
            <w:tcMar>
              <w:top w:w="0" w:type="dxa"/>
              <w:bottom w:w="0" w:type="dxa"/>
            </w:tcMar>
            <w:vAlign w:val="center"/>
          </w:tcPr>
          <w:p w14:paraId="6C054EEF" w14:textId="77777777" w:rsidR="001C7F76" w:rsidRPr="004B4C90" w:rsidRDefault="001C7F76" w:rsidP="00EB68C1">
            <w:pPr>
              <w:pBdr>
                <w:top w:val="nil"/>
                <w:left w:val="nil"/>
                <w:bottom w:val="nil"/>
                <w:right w:val="nil"/>
                <w:between w:val="nil"/>
              </w:pBdr>
              <w:spacing w:after="120" w:line="360" w:lineRule="auto"/>
              <w:jc w:val="right"/>
              <w:rPr>
                <w:rFonts w:ascii="Arial" w:eastAsia="Arial" w:hAnsi="Arial" w:cs="Arial"/>
                <w:color w:val="010000"/>
                <w:sz w:val="20"/>
                <w:szCs w:val="20"/>
              </w:rPr>
            </w:pPr>
          </w:p>
        </w:tc>
        <w:tc>
          <w:tcPr>
            <w:tcW w:w="1776" w:type="pct"/>
            <w:vMerge/>
            <w:tcBorders>
              <w:top w:val="single" w:sz="4" w:space="0" w:color="000000"/>
              <w:left w:val="single" w:sz="4" w:space="0" w:color="000000"/>
            </w:tcBorders>
            <w:shd w:val="clear" w:color="auto" w:fill="auto"/>
            <w:tcMar>
              <w:top w:w="0" w:type="dxa"/>
              <w:bottom w:w="0" w:type="dxa"/>
            </w:tcMar>
            <w:vAlign w:val="center"/>
          </w:tcPr>
          <w:p w14:paraId="22B21F50" w14:textId="77777777" w:rsidR="001C7F76" w:rsidRPr="004B4C90" w:rsidRDefault="001C7F76" w:rsidP="00EB68C1">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892" w:type="pct"/>
            <w:vMerge/>
            <w:tcBorders>
              <w:top w:val="single" w:sz="4" w:space="0" w:color="000000"/>
              <w:left w:val="single" w:sz="4" w:space="0" w:color="000000"/>
            </w:tcBorders>
            <w:shd w:val="clear" w:color="auto" w:fill="auto"/>
            <w:tcMar>
              <w:top w:w="0" w:type="dxa"/>
              <w:bottom w:w="0" w:type="dxa"/>
            </w:tcMar>
            <w:vAlign w:val="center"/>
          </w:tcPr>
          <w:p w14:paraId="2667F68A" w14:textId="77777777" w:rsidR="001C7F76" w:rsidRPr="004B4C90" w:rsidRDefault="001C7F76" w:rsidP="00EB68C1">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892" w:type="pct"/>
            <w:tcBorders>
              <w:top w:val="single" w:sz="4" w:space="0" w:color="000000"/>
              <w:left w:val="single" w:sz="4" w:space="0" w:color="000000"/>
            </w:tcBorders>
            <w:shd w:val="clear" w:color="auto" w:fill="auto"/>
            <w:tcMar>
              <w:top w:w="0" w:type="dxa"/>
              <w:bottom w:w="0" w:type="dxa"/>
            </w:tcMar>
            <w:vAlign w:val="center"/>
          </w:tcPr>
          <w:p w14:paraId="7D69C1A1" w14:textId="77777777" w:rsidR="001C7F76" w:rsidRPr="004B4C90" w:rsidRDefault="000B46C8" w:rsidP="00EB68C1">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Current</w:t>
            </w:r>
          </w:p>
        </w:tc>
        <w:tc>
          <w:tcPr>
            <w:tcW w:w="103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D3631DA" w14:textId="77777777" w:rsidR="001C7F76" w:rsidRPr="004B4C90" w:rsidRDefault="000B46C8" w:rsidP="00EB68C1">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After the upgrade and expansion</w:t>
            </w:r>
          </w:p>
        </w:tc>
      </w:tr>
      <w:tr w:rsidR="001C7F76" w:rsidRPr="004B4C90" w14:paraId="09D9107B" w14:textId="77777777" w:rsidTr="0010311F">
        <w:tc>
          <w:tcPr>
            <w:tcW w:w="409" w:type="pct"/>
            <w:tcBorders>
              <w:top w:val="single" w:sz="4" w:space="0" w:color="000000"/>
              <w:left w:val="single" w:sz="4" w:space="0" w:color="000000"/>
            </w:tcBorders>
            <w:shd w:val="clear" w:color="auto" w:fill="auto"/>
            <w:tcMar>
              <w:top w:w="0" w:type="dxa"/>
              <w:bottom w:w="0" w:type="dxa"/>
            </w:tcMar>
            <w:vAlign w:val="center"/>
          </w:tcPr>
          <w:p w14:paraId="7D932EFD" w14:textId="77777777" w:rsidR="001C7F76" w:rsidRPr="004B4C90" w:rsidRDefault="000B46C8" w:rsidP="00EB68C1">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1</w:t>
            </w:r>
          </w:p>
        </w:tc>
        <w:tc>
          <w:tcPr>
            <w:tcW w:w="1776" w:type="pct"/>
            <w:tcBorders>
              <w:top w:val="single" w:sz="4" w:space="0" w:color="000000"/>
              <w:left w:val="single" w:sz="4" w:space="0" w:color="000000"/>
            </w:tcBorders>
            <w:shd w:val="clear" w:color="auto" w:fill="auto"/>
            <w:tcMar>
              <w:top w:w="0" w:type="dxa"/>
              <w:bottom w:w="0" w:type="dxa"/>
            </w:tcMar>
            <w:vAlign w:val="center"/>
          </w:tcPr>
          <w:p w14:paraId="127EA1EB"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Liquefied Petroleum Gas (LPG)</w:t>
            </w:r>
          </w:p>
        </w:tc>
        <w:tc>
          <w:tcPr>
            <w:tcW w:w="892" w:type="pct"/>
            <w:tcBorders>
              <w:top w:val="single" w:sz="4" w:space="0" w:color="000000"/>
              <w:left w:val="single" w:sz="4" w:space="0" w:color="000000"/>
            </w:tcBorders>
            <w:shd w:val="clear" w:color="auto" w:fill="auto"/>
            <w:tcMar>
              <w:top w:w="0" w:type="dxa"/>
              <w:bottom w:w="0" w:type="dxa"/>
            </w:tcMar>
            <w:vAlign w:val="center"/>
          </w:tcPr>
          <w:p w14:paraId="1F165E1C"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Tons</w:t>
            </w:r>
          </w:p>
        </w:tc>
        <w:tc>
          <w:tcPr>
            <w:tcW w:w="892" w:type="pct"/>
            <w:tcBorders>
              <w:top w:val="single" w:sz="4" w:space="0" w:color="000000"/>
              <w:left w:val="single" w:sz="4" w:space="0" w:color="000000"/>
            </w:tcBorders>
            <w:shd w:val="clear" w:color="auto" w:fill="auto"/>
            <w:tcMar>
              <w:top w:w="0" w:type="dxa"/>
              <w:bottom w:w="0" w:type="dxa"/>
            </w:tcMar>
            <w:vAlign w:val="center"/>
          </w:tcPr>
          <w:p w14:paraId="38251251"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1,018</w:t>
            </w:r>
          </w:p>
        </w:tc>
        <w:tc>
          <w:tcPr>
            <w:tcW w:w="103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13C8578"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1,049</w:t>
            </w:r>
          </w:p>
        </w:tc>
      </w:tr>
      <w:tr w:rsidR="001C7F76" w:rsidRPr="004B4C90" w14:paraId="55F806DE" w14:textId="77777777" w:rsidTr="0010311F">
        <w:tc>
          <w:tcPr>
            <w:tcW w:w="409" w:type="pct"/>
            <w:tcBorders>
              <w:top w:val="single" w:sz="4" w:space="0" w:color="000000"/>
              <w:left w:val="single" w:sz="4" w:space="0" w:color="000000"/>
            </w:tcBorders>
            <w:shd w:val="clear" w:color="auto" w:fill="auto"/>
            <w:tcMar>
              <w:top w:w="0" w:type="dxa"/>
              <w:bottom w:w="0" w:type="dxa"/>
            </w:tcMar>
            <w:vAlign w:val="center"/>
          </w:tcPr>
          <w:p w14:paraId="675A07E3" w14:textId="77777777" w:rsidR="001C7F76" w:rsidRPr="004B4C90" w:rsidRDefault="000B46C8" w:rsidP="00EB68C1">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2</w:t>
            </w:r>
          </w:p>
        </w:tc>
        <w:tc>
          <w:tcPr>
            <w:tcW w:w="1776" w:type="pct"/>
            <w:tcBorders>
              <w:top w:val="single" w:sz="4" w:space="0" w:color="000000"/>
              <w:left w:val="single" w:sz="4" w:space="0" w:color="000000"/>
            </w:tcBorders>
            <w:shd w:val="clear" w:color="auto" w:fill="auto"/>
            <w:tcMar>
              <w:top w:w="0" w:type="dxa"/>
              <w:bottom w:w="0" w:type="dxa"/>
            </w:tcMar>
            <w:vAlign w:val="center"/>
          </w:tcPr>
          <w:p w14:paraId="03ED8691"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Propylene/Polypropylene</w:t>
            </w:r>
          </w:p>
        </w:tc>
        <w:tc>
          <w:tcPr>
            <w:tcW w:w="892" w:type="pct"/>
            <w:tcBorders>
              <w:top w:val="single" w:sz="4" w:space="0" w:color="000000"/>
              <w:left w:val="single" w:sz="4" w:space="0" w:color="000000"/>
            </w:tcBorders>
            <w:shd w:val="clear" w:color="auto" w:fill="auto"/>
            <w:tcMar>
              <w:top w:w="0" w:type="dxa"/>
              <w:bottom w:w="0" w:type="dxa"/>
            </w:tcMar>
            <w:vAlign w:val="center"/>
          </w:tcPr>
          <w:p w14:paraId="4A502478"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Tons</w:t>
            </w:r>
          </w:p>
        </w:tc>
        <w:tc>
          <w:tcPr>
            <w:tcW w:w="892" w:type="pct"/>
            <w:tcBorders>
              <w:top w:val="single" w:sz="4" w:space="0" w:color="000000"/>
              <w:left w:val="single" w:sz="4" w:space="0" w:color="000000"/>
            </w:tcBorders>
            <w:shd w:val="clear" w:color="auto" w:fill="auto"/>
            <w:tcMar>
              <w:top w:w="0" w:type="dxa"/>
              <w:bottom w:w="0" w:type="dxa"/>
            </w:tcMar>
            <w:vAlign w:val="center"/>
          </w:tcPr>
          <w:p w14:paraId="7F93E77B"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462</w:t>
            </w:r>
          </w:p>
        </w:tc>
        <w:tc>
          <w:tcPr>
            <w:tcW w:w="103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8245C5B"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685</w:t>
            </w:r>
          </w:p>
        </w:tc>
      </w:tr>
      <w:tr w:rsidR="001C7F76" w:rsidRPr="004B4C90" w14:paraId="162DE47E" w14:textId="77777777" w:rsidTr="0010311F">
        <w:tc>
          <w:tcPr>
            <w:tcW w:w="409" w:type="pct"/>
            <w:tcBorders>
              <w:top w:val="single" w:sz="4" w:space="0" w:color="000000"/>
              <w:left w:val="single" w:sz="4" w:space="0" w:color="000000"/>
            </w:tcBorders>
            <w:shd w:val="clear" w:color="auto" w:fill="auto"/>
            <w:tcMar>
              <w:top w:w="0" w:type="dxa"/>
              <w:bottom w:w="0" w:type="dxa"/>
            </w:tcMar>
            <w:vAlign w:val="center"/>
          </w:tcPr>
          <w:p w14:paraId="272C5D7F" w14:textId="77777777" w:rsidR="001C7F76" w:rsidRPr="004B4C90" w:rsidRDefault="000B46C8" w:rsidP="00EB68C1">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3</w:t>
            </w:r>
          </w:p>
        </w:tc>
        <w:tc>
          <w:tcPr>
            <w:tcW w:w="1776" w:type="pct"/>
            <w:tcBorders>
              <w:top w:val="single" w:sz="4" w:space="0" w:color="000000"/>
              <w:left w:val="single" w:sz="4" w:space="0" w:color="000000"/>
            </w:tcBorders>
            <w:shd w:val="clear" w:color="auto" w:fill="auto"/>
            <w:tcMar>
              <w:top w:w="0" w:type="dxa"/>
              <w:bottom w:w="0" w:type="dxa"/>
            </w:tcMar>
            <w:vAlign w:val="center"/>
          </w:tcPr>
          <w:p w14:paraId="6C0BABB9"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Gasoline of all kinds</w:t>
            </w:r>
          </w:p>
        </w:tc>
        <w:tc>
          <w:tcPr>
            <w:tcW w:w="892" w:type="pct"/>
            <w:tcBorders>
              <w:top w:val="single" w:sz="4" w:space="0" w:color="000000"/>
              <w:left w:val="single" w:sz="4" w:space="0" w:color="000000"/>
            </w:tcBorders>
            <w:shd w:val="clear" w:color="auto" w:fill="auto"/>
            <w:tcMar>
              <w:top w:w="0" w:type="dxa"/>
              <w:bottom w:w="0" w:type="dxa"/>
            </w:tcMar>
            <w:vAlign w:val="center"/>
          </w:tcPr>
          <w:p w14:paraId="16C7C934"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Thousand tanks</w:t>
            </w:r>
          </w:p>
        </w:tc>
        <w:tc>
          <w:tcPr>
            <w:tcW w:w="892" w:type="pct"/>
            <w:tcBorders>
              <w:top w:val="single" w:sz="4" w:space="0" w:color="000000"/>
              <w:left w:val="single" w:sz="4" w:space="0" w:color="000000"/>
            </w:tcBorders>
            <w:shd w:val="clear" w:color="auto" w:fill="auto"/>
            <w:tcMar>
              <w:top w:w="0" w:type="dxa"/>
              <w:bottom w:w="0" w:type="dxa"/>
            </w:tcMar>
            <w:vAlign w:val="center"/>
          </w:tcPr>
          <w:p w14:paraId="097E8013"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65.9</w:t>
            </w:r>
          </w:p>
        </w:tc>
        <w:tc>
          <w:tcPr>
            <w:tcW w:w="103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5040482"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79.7</w:t>
            </w:r>
          </w:p>
        </w:tc>
      </w:tr>
      <w:tr w:rsidR="001C7F76" w:rsidRPr="004B4C90" w14:paraId="067583A5" w14:textId="77777777" w:rsidTr="0010311F">
        <w:tc>
          <w:tcPr>
            <w:tcW w:w="409" w:type="pct"/>
            <w:tcBorders>
              <w:top w:val="single" w:sz="4" w:space="0" w:color="000000"/>
              <w:left w:val="single" w:sz="4" w:space="0" w:color="000000"/>
            </w:tcBorders>
            <w:shd w:val="clear" w:color="auto" w:fill="auto"/>
            <w:tcMar>
              <w:top w:w="0" w:type="dxa"/>
              <w:bottom w:w="0" w:type="dxa"/>
            </w:tcMar>
            <w:vAlign w:val="center"/>
          </w:tcPr>
          <w:p w14:paraId="79A37383" w14:textId="77777777" w:rsidR="001C7F76" w:rsidRPr="004B4C90" w:rsidRDefault="000B46C8" w:rsidP="00EB68C1">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4</w:t>
            </w:r>
          </w:p>
        </w:tc>
        <w:tc>
          <w:tcPr>
            <w:tcW w:w="1776" w:type="pct"/>
            <w:tcBorders>
              <w:top w:val="single" w:sz="4" w:space="0" w:color="000000"/>
              <w:left w:val="single" w:sz="4" w:space="0" w:color="000000"/>
            </w:tcBorders>
            <w:shd w:val="clear" w:color="auto" w:fill="auto"/>
            <w:tcMar>
              <w:top w:w="0" w:type="dxa"/>
              <w:bottom w:w="0" w:type="dxa"/>
            </w:tcMar>
            <w:vAlign w:val="center"/>
          </w:tcPr>
          <w:p w14:paraId="0E935C35"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Jet fuel/oil (Jet A-1/Kerosene)</w:t>
            </w:r>
          </w:p>
        </w:tc>
        <w:tc>
          <w:tcPr>
            <w:tcW w:w="892" w:type="pct"/>
            <w:tcBorders>
              <w:top w:val="single" w:sz="4" w:space="0" w:color="000000"/>
              <w:left w:val="single" w:sz="4" w:space="0" w:color="000000"/>
            </w:tcBorders>
            <w:shd w:val="clear" w:color="auto" w:fill="auto"/>
            <w:tcMar>
              <w:top w:w="0" w:type="dxa"/>
              <w:bottom w:w="0" w:type="dxa"/>
            </w:tcMar>
            <w:vAlign w:val="center"/>
          </w:tcPr>
          <w:p w14:paraId="46451B38"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Thousand tanks</w:t>
            </w:r>
          </w:p>
        </w:tc>
        <w:tc>
          <w:tcPr>
            <w:tcW w:w="892" w:type="pct"/>
            <w:tcBorders>
              <w:top w:val="single" w:sz="4" w:space="0" w:color="000000"/>
              <w:left w:val="single" w:sz="4" w:space="0" w:color="000000"/>
            </w:tcBorders>
            <w:shd w:val="clear" w:color="auto" w:fill="auto"/>
            <w:tcMar>
              <w:top w:w="0" w:type="dxa"/>
              <w:bottom w:w="0" w:type="dxa"/>
            </w:tcMar>
            <w:vAlign w:val="center"/>
          </w:tcPr>
          <w:p w14:paraId="6432157F"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5.3</w:t>
            </w:r>
          </w:p>
        </w:tc>
        <w:tc>
          <w:tcPr>
            <w:tcW w:w="103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06FA763"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13.1</w:t>
            </w:r>
          </w:p>
        </w:tc>
      </w:tr>
      <w:tr w:rsidR="001C7F76" w:rsidRPr="004B4C90" w14:paraId="03435A8C" w14:textId="77777777" w:rsidTr="0010311F">
        <w:tc>
          <w:tcPr>
            <w:tcW w:w="409" w:type="pct"/>
            <w:tcBorders>
              <w:top w:val="single" w:sz="4" w:space="0" w:color="000000"/>
              <w:left w:val="single" w:sz="4" w:space="0" w:color="000000"/>
            </w:tcBorders>
            <w:shd w:val="clear" w:color="auto" w:fill="auto"/>
            <w:tcMar>
              <w:top w:w="0" w:type="dxa"/>
              <w:bottom w:w="0" w:type="dxa"/>
            </w:tcMar>
            <w:vAlign w:val="center"/>
          </w:tcPr>
          <w:p w14:paraId="6547FC06" w14:textId="77777777" w:rsidR="001C7F76" w:rsidRPr="004B4C90" w:rsidRDefault="000B46C8" w:rsidP="00EB68C1">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5</w:t>
            </w:r>
          </w:p>
        </w:tc>
        <w:tc>
          <w:tcPr>
            <w:tcW w:w="1776" w:type="pct"/>
            <w:tcBorders>
              <w:top w:val="single" w:sz="4" w:space="0" w:color="000000"/>
              <w:left w:val="single" w:sz="4" w:space="0" w:color="000000"/>
            </w:tcBorders>
            <w:shd w:val="clear" w:color="auto" w:fill="auto"/>
            <w:tcMar>
              <w:top w:w="0" w:type="dxa"/>
              <w:bottom w:w="0" w:type="dxa"/>
            </w:tcMar>
            <w:vAlign w:val="center"/>
          </w:tcPr>
          <w:p w14:paraId="159C5D08"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Diesel oil (DO)</w:t>
            </w:r>
          </w:p>
        </w:tc>
        <w:tc>
          <w:tcPr>
            <w:tcW w:w="892" w:type="pct"/>
            <w:tcBorders>
              <w:top w:val="single" w:sz="4" w:space="0" w:color="000000"/>
              <w:left w:val="single" w:sz="4" w:space="0" w:color="000000"/>
            </w:tcBorders>
            <w:shd w:val="clear" w:color="auto" w:fill="auto"/>
            <w:tcMar>
              <w:top w:w="0" w:type="dxa"/>
              <w:bottom w:w="0" w:type="dxa"/>
            </w:tcMar>
            <w:vAlign w:val="center"/>
          </w:tcPr>
          <w:p w14:paraId="2AA9B022"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Thousand tanks</w:t>
            </w:r>
          </w:p>
        </w:tc>
        <w:tc>
          <w:tcPr>
            <w:tcW w:w="892" w:type="pct"/>
            <w:tcBorders>
              <w:top w:val="single" w:sz="4" w:space="0" w:color="000000"/>
              <w:left w:val="single" w:sz="4" w:space="0" w:color="000000"/>
            </w:tcBorders>
            <w:shd w:val="clear" w:color="auto" w:fill="auto"/>
            <w:tcMar>
              <w:top w:w="0" w:type="dxa"/>
              <w:bottom w:w="0" w:type="dxa"/>
            </w:tcMar>
            <w:vAlign w:val="center"/>
          </w:tcPr>
          <w:p w14:paraId="4AD6D2FB"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53.2</w:t>
            </w:r>
          </w:p>
        </w:tc>
        <w:tc>
          <w:tcPr>
            <w:tcW w:w="103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E68BDBA"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59.2</w:t>
            </w:r>
          </w:p>
        </w:tc>
      </w:tr>
      <w:tr w:rsidR="001C7F76" w:rsidRPr="004B4C90" w14:paraId="02EB5289" w14:textId="77777777" w:rsidTr="0010311F">
        <w:tc>
          <w:tcPr>
            <w:tcW w:w="409" w:type="pct"/>
            <w:tcBorders>
              <w:top w:val="single" w:sz="4" w:space="0" w:color="000000"/>
              <w:left w:val="single" w:sz="4" w:space="0" w:color="000000"/>
            </w:tcBorders>
            <w:shd w:val="clear" w:color="auto" w:fill="auto"/>
            <w:tcMar>
              <w:top w:w="0" w:type="dxa"/>
              <w:bottom w:w="0" w:type="dxa"/>
            </w:tcMar>
            <w:vAlign w:val="center"/>
          </w:tcPr>
          <w:p w14:paraId="49F55565" w14:textId="77777777" w:rsidR="001C7F76" w:rsidRPr="004B4C90" w:rsidRDefault="000B46C8" w:rsidP="00EB68C1">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6</w:t>
            </w:r>
          </w:p>
        </w:tc>
        <w:tc>
          <w:tcPr>
            <w:tcW w:w="1776" w:type="pct"/>
            <w:tcBorders>
              <w:top w:val="single" w:sz="4" w:space="0" w:color="000000"/>
              <w:left w:val="single" w:sz="4" w:space="0" w:color="000000"/>
            </w:tcBorders>
            <w:shd w:val="clear" w:color="auto" w:fill="auto"/>
            <w:tcMar>
              <w:top w:w="0" w:type="dxa"/>
              <w:bottom w:w="0" w:type="dxa"/>
            </w:tcMar>
            <w:vAlign w:val="center"/>
          </w:tcPr>
          <w:p w14:paraId="63D9E7CC"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Furnace oil (FO)</w:t>
            </w:r>
          </w:p>
        </w:tc>
        <w:tc>
          <w:tcPr>
            <w:tcW w:w="892" w:type="pct"/>
            <w:tcBorders>
              <w:top w:val="single" w:sz="4" w:space="0" w:color="000000"/>
              <w:left w:val="single" w:sz="4" w:space="0" w:color="000000"/>
            </w:tcBorders>
            <w:shd w:val="clear" w:color="auto" w:fill="auto"/>
            <w:tcMar>
              <w:top w:w="0" w:type="dxa"/>
              <w:bottom w:w="0" w:type="dxa"/>
            </w:tcMar>
            <w:vAlign w:val="center"/>
          </w:tcPr>
          <w:p w14:paraId="399E615D"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Thousand tanks</w:t>
            </w:r>
          </w:p>
        </w:tc>
        <w:tc>
          <w:tcPr>
            <w:tcW w:w="892" w:type="pct"/>
            <w:tcBorders>
              <w:top w:val="single" w:sz="4" w:space="0" w:color="000000"/>
              <w:left w:val="single" w:sz="4" w:space="0" w:color="000000"/>
            </w:tcBorders>
            <w:shd w:val="clear" w:color="auto" w:fill="auto"/>
            <w:tcMar>
              <w:top w:w="0" w:type="dxa"/>
              <w:bottom w:w="0" w:type="dxa"/>
            </w:tcMar>
            <w:vAlign w:val="center"/>
          </w:tcPr>
          <w:p w14:paraId="0C0A07FA"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7</w:t>
            </w:r>
          </w:p>
        </w:tc>
        <w:tc>
          <w:tcPr>
            <w:tcW w:w="103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7E0B777"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0</w:t>
            </w:r>
          </w:p>
        </w:tc>
      </w:tr>
      <w:tr w:rsidR="001C7F76" w:rsidRPr="004B4C90" w14:paraId="17028892" w14:textId="77777777" w:rsidTr="0010311F">
        <w:tc>
          <w:tcPr>
            <w:tcW w:w="409" w:type="pct"/>
            <w:tcBorders>
              <w:top w:val="single" w:sz="4" w:space="0" w:color="000000"/>
              <w:left w:val="single" w:sz="4" w:space="0" w:color="000000"/>
            </w:tcBorders>
            <w:shd w:val="clear" w:color="auto" w:fill="auto"/>
            <w:tcMar>
              <w:top w:w="0" w:type="dxa"/>
              <w:bottom w:w="0" w:type="dxa"/>
            </w:tcMar>
            <w:vAlign w:val="center"/>
          </w:tcPr>
          <w:p w14:paraId="18CA0074" w14:textId="77777777" w:rsidR="001C7F76" w:rsidRPr="004B4C90" w:rsidRDefault="000B46C8" w:rsidP="00EB68C1">
            <w:pPr>
              <w:pBdr>
                <w:top w:val="nil"/>
                <w:left w:val="nil"/>
                <w:bottom w:val="nil"/>
                <w:right w:val="nil"/>
                <w:between w:val="nil"/>
              </w:pBdr>
              <w:tabs>
                <w:tab w:val="left" w:pos="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7</w:t>
            </w:r>
          </w:p>
        </w:tc>
        <w:tc>
          <w:tcPr>
            <w:tcW w:w="1776" w:type="pct"/>
            <w:tcBorders>
              <w:top w:val="single" w:sz="4" w:space="0" w:color="000000"/>
              <w:left w:val="single" w:sz="4" w:space="0" w:color="000000"/>
            </w:tcBorders>
            <w:shd w:val="clear" w:color="auto" w:fill="auto"/>
            <w:tcMar>
              <w:top w:w="0" w:type="dxa"/>
              <w:bottom w:w="0" w:type="dxa"/>
            </w:tcMar>
            <w:vAlign w:val="center"/>
          </w:tcPr>
          <w:p w14:paraId="18801BD7"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Sulfur:</w:t>
            </w:r>
          </w:p>
        </w:tc>
        <w:tc>
          <w:tcPr>
            <w:tcW w:w="892" w:type="pct"/>
            <w:tcBorders>
              <w:top w:val="single" w:sz="4" w:space="0" w:color="000000"/>
              <w:left w:val="single" w:sz="4" w:space="0" w:color="000000"/>
            </w:tcBorders>
            <w:shd w:val="clear" w:color="auto" w:fill="auto"/>
            <w:tcMar>
              <w:top w:w="0" w:type="dxa"/>
              <w:bottom w:w="0" w:type="dxa"/>
            </w:tcMar>
            <w:vAlign w:val="center"/>
          </w:tcPr>
          <w:p w14:paraId="05B8CC58"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Tons</w:t>
            </w:r>
          </w:p>
        </w:tc>
        <w:tc>
          <w:tcPr>
            <w:tcW w:w="892" w:type="pct"/>
            <w:tcBorders>
              <w:top w:val="single" w:sz="4" w:space="0" w:color="000000"/>
              <w:left w:val="single" w:sz="4" w:space="0" w:color="000000"/>
            </w:tcBorders>
            <w:shd w:val="clear" w:color="auto" w:fill="auto"/>
            <w:tcMar>
              <w:top w:w="0" w:type="dxa"/>
              <w:bottom w:w="0" w:type="dxa"/>
            </w:tcMar>
            <w:vAlign w:val="center"/>
          </w:tcPr>
          <w:p w14:paraId="1D83F927"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13</w:t>
            </w:r>
          </w:p>
        </w:tc>
        <w:tc>
          <w:tcPr>
            <w:tcW w:w="1031"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AFA14F2"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56.7</w:t>
            </w:r>
          </w:p>
        </w:tc>
      </w:tr>
      <w:tr w:rsidR="001C7F76" w:rsidRPr="004B4C90" w14:paraId="3269E10D" w14:textId="77777777" w:rsidTr="0010311F">
        <w:tc>
          <w:tcPr>
            <w:tcW w:w="40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73DF7DE" w14:textId="77777777" w:rsidR="001C7F76" w:rsidRPr="004B4C90" w:rsidRDefault="000B46C8" w:rsidP="00EB68C1">
            <w:pPr>
              <w:pBdr>
                <w:top w:val="nil"/>
                <w:left w:val="nil"/>
                <w:bottom w:val="nil"/>
                <w:right w:val="nil"/>
                <w:between w:val="nil"/>
              </w:pBdr>
              <w:tabs>
                <w:tab w:val="left" w:pos="165"/>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8</w:t>
            </w:r>
          </w:p>
        </w:tc>
        <w:tc>
          <w:tcPr>
            <w:tcW w:w="177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F5AEDA4"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Crude oil processing capacity </w:t>
            </w:r>
          </w:p>
        </w:tc>
        <w:tc>
          <w:tcPr>
            <w:tcW w:w="89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E5B9F4B"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Thousand tanks</w:t>
            </w:r>
          </w:p>
        </w:tc>
        <w:tc>
          <w:tcPr>
            <w:tcW w:w="89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BFADDAE"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148</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2174974" w14:textId="77777777" w:rsidR="001C7F76" w:rsidRPr="004B4C90" w:rsidRDefault="000B46C8" w:rsidP="00F81D93">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4B4C90">
              <w:rPr>
                <w:rFonts w:ascii="Arial" w:hAnsi="Arial" w:cs="Arial"/>
                <w:color w:val="010000"/>
                <w:sz w:val="20"/>
                <w:szCs w:val="20"/>
              </w:rPr>
              <w:t>171</w:t>
            </w:r>
          </w:p>
        </w:tc>
      </w:tr>
    </w:tbl>
    <w:p w14:paraId="22EB7782" w14:textId="58DF91D8" w:rsidR="001C7F76" w:rsidRPr="004B4C90" w:rsidRDefault="000B46C8" w:rsidP="004B4C90">
      <w:pPr>
        <w:numPr>
          <w:ilvl w:val="1"/>
          <w:numId w:val="1"/>
        </w:numPr>
        <w:pBdr>
          <w:top w:val="nil"/>
          <w:left w:val="nil"/>
          <w:bottom w:val="nil"/>
          <w:right w:val="nil"/>
          <w:between w:val="nil"/>
        </w:pBdr>
        <w:tabs>
          <w:tab w:val="left" w:pos="450"/>
          <w:tab w:val="left" w:pos="129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Land use scale: Around 51.67 hectares, including: 41.01 hectares of expansion and 10.66 hectares of land provision inside the existing refinery, does not use the margin</w:t>
      </w:r>
      <w:r w:rsidR="00F81D93">
        <w:rPr>
          <w:rFonts w:ascii="Arial" w:hAnsi="Arial" w:cs="Arial"/>
          <w:color w:val="010000"/>
          <w:sz w:val="20"/>
          <w:szCs w:val="20"/>
        </w:rPr>
        <w:t xml:space="preserve">. </w:t>
      </w:r>
    </w:p>
    <w:p w14:paraId="3E546A27" w14:textId="77777777" w:rsidR="001C7F76" w:rsidRPr="004B4C90" w:rsidRDefault="000B46C8" w:rsidP="004B4C90">
      <w:pPr>
        <w:numPr>
          <w:ilvl w:val="0"/>
          <w:numId w:val="1"/>
        </w:numPr>
        <w:pBdr>
          <w:top w:val="nil"/>
          <w:left w:val="nil"/>
          <w:bottom w:val="nil"/>
          <w:right w:val="nil"/>
          <w:between w:val="nil"/>
        </w:pBdr>
        <w:tabs>
          <w:tab w:val="left" w:pos="450"/>
          <w:tab w:val="left" w:pos="126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Consulting organization:</w:t>
      </w:r>
    </w:p>
    <w:p w14:paraId="47792F49" w14:textId="7F56D87A" w:rsidR="001C7F76" w:rsidRPr="004B4C90" w:rsidRDefault="000B46C8" w:rsidP="004B4C90">
      <w:pPr>
        <w:numPr>
          <w:ilvl w:val="1"/>
          <w:numId w:val="1"/>
        </w:numPr>
        <w:pBdr>
          <w:top w:val="nil"/>
          <w:left w:val="nil"/>
          <w:bottom w:val="nil"/>
          <w:right w:val="nil"/>
          <w:between w:val="nil"/>
        </w:pBdr>
        <w:tabs>
          <w:tab w:val="left" w:pos="450"/>
          <w:tab w:val="left" w:pos="129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Prepare the adjusted Feasibility Research Report:</w:t>
      </w:r>
      <w:r w:rsidR="0010311F" w:rsidRPr="004B4C90">
        <w:rPr>
          <w:rFonts w:ascii="Arial" w:hAnsi="Arial" w:cs="Arial"/>
          <w:color w:val="010000"/>
          <w:sz w:val="20"/>
          <w:szCs w:val="20"/>
        </w:rPr>
        <w:t xml:space="preserve"> </w:t>
      </w:r>
      <w:proofErr w:type="spellStart"/>
      <w:r w:rsidRPr="004B4C90">
        <w:rPr>
          <w:rFonts w:ascii="Arial" w:hAnsi="Arial" w:cs="Arial"/>
          <w:color w:val="010000"/>
          <w:sz w:val="20"/>
          <w:szCs w:val="20"/>
        </w:rPr>
        <w:t>PetroVietnam</w:t>
      </w:r>
      <w:proofErr w:type="spellEnd"/>
      <w:r w:rsidRPr="004B4C90">
        <w:rPr>
          <w:rFonts w:ascii="Arial" w:hAnsi="Arial" w:cs="Arial"/>
          <w:color w:val="010000"/>
          <w:sz w:val="20"/>
          <w:szCs w:val="20"/>
        </w:rPr>
        <w:t xml:space="preserve"> Engineering Consultancy JSC</w:t>
      </w:r>
    </w:p>
    <w:p w14:paraId="0F17EA8D" w14:textId="77777777" w:rsidR="001C7F76" w:rsidRPr="004B4C90" w:rsidRDefault="000B46C8" w:rsidP="004B4C90">
      <w:pPr>
        <w:numPr>
          <w:ilvl w:val="1"/>
          <w:numId w:val="1"/>
        </w:numPr>
        <w:pBdr>
          <w:top w:val="nil"/>
          <w:left w:val="nil"/>
          <w:bottom w:val="nil"/>
          <w:right w:val="nil"/>
          <w:between w:val="nil"/>
        </w:pBdr>
        <w:tabs>
          <w:tab w:val="left" w:pos="450"/>
          <w:tab w:val="left" w:pos="1273"/>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Prepare the construction surveying:</w:t>
      </w:r>
    </w:p>
    <w:p w14:paraId="238DCD56"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Use the results of the existing survey to serve the FEED 2017 design of the Project on Upgrading and expanding the Dung </w:t>
      </w:r>
      <w:proofErr w:type="spellStart"/>
      <w:r w:rsidRPr="004B4C90">
        <w:rPr>
          <w:rFonts w:ascii="Arial" w:hAnsi="Arial" w:cs="Arial"/>
          <w:color w:val="010000"/>
          <w:sz w:val="20"/>
          <w:szCs w:val="20"/>
        </w:rPr>
        <w:t>Quat</w:t>
      </w:r>
      <w:proofErr w:type="spellEnd"/>
      <w:r w:rsidRPr="004B4C90">
        <w:rPr>
          <w:rFonts w:ascii="Arial" w:hAnsi="Arial" w:cs="Arial"/>
          <w:color w:val="010000"/>
          <w:sz w:val="20"/>
          <w:szCs w:val="20"/>
        </w:rPr>
        <w:t xml:space="preserve"> Oil Refinery Contractors implement the survey as follow:</w:t>
      </w:r>
    </w:p>
    <w:p w14:paraId="120B12DE" w14:textId="77777777" w:rsidR="001C7F76" w:rsidRPr="004B4C90" w:rsidRDefault="000B46C8" w:rsidP="004B4C90">
      <w:pPr>
        <w:numPr>
          <w:ilvl w:val="0"/>
          <w:numId w:val="7"/>
        </w:numPr>
        <w:pBdr>
          <w:top w:val="nil"/>
          <w:left w:val="nil"/>
          <w:bottom w:val="nil"/>
          <w:right w:val="nil"/>
          <w:between w:val="nil"/>
        </w:pBdr>
        <w:tabs>
          <w:tab w:val="left" w:pos="450"/>
          <w:tab w:val="left" w:pos="129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Phase 1 (2015): Implemented by the joint venture between </w:t>
      </w:r>
      <w:proofErr w:type="spellStart"/>
      <w:r w:rsidRPr="004B4C90">
        <w:rPr>
          <w:rFonts w:ascii="Arial" w:hAnsi="Arial" w:cs="Arial"/>
          <w:color w:val="010000"/>
          <w:sz w:val="20"/>
          <w:szCs w:val="20"/>
        </w:rPr>
        <w:t>PetroVietnam</w:t>
      </w:r>
      <w:proofErr w:type="spellEnd"/>
      <w:r w:rsidRPr="004B4C90">
        <w:rPr>
          <w:rFonts w:ascii="Arial" w:hAnsi="Arial" w:cs="Arial"/>
          <w:color w:val="010000"/>
          <w:sz w:val="20"/>
          <w:szCs w:val="20"/>
        </w:rPr>
        <w:t xml:space="preserve"> Engineering Consultancy JSC (PVE) and PTSC Geos &amp; Subsea Services Co., LTD. (PTSC G&amp;S) (PVE) undertook the topographic and geological surveys on the shore; PTSC G&amp;S undertook the underwater topographic surveys) as per the Contract signed with the DQRE Division of BSR</w:t>
      </w:r>
    </w:p>
    <w:p w14:paraId="4DDF9215" w14:textId="77777777" w:rsidR="001C7F76" w:rsidRPr="004B4C90" w:rsidRDefault="000B46C8" w:rsidP="004B4C90">
      <w:pPr>
        <w:numPr>
          <w:ilvl w:val="0"/>
          <w:numId w:val="7"/>
        </w:numPr>
        <w:pBdr>
          <w:top w:val="nil"/>
          <w:left w:val="nil"/>
          <w:bottom w:val="nil"/>
          <w:right w:val="nil"/>
          <w:between w:val="nil"/>
        </w:pBdr>
        <w:tabs>
          <w:tab w:val="left" w:pos="450"/>
          <w:tab w:val="left" w:pos="129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Phase 2 (2015-2016) Port and Waterway Engineering Consultant Joint Stock Company </w:t>
      </w:r>
      <w:r w:rsidRPr="004B4C90">
        <w:rPr>
          <w:rFonts w:ascii="Arial" w:hAnsi="Arial" w:cs="Arial"/>
          <w:color w:val="010000"/>
          <w:sz w:val="20"/>
          <w:szCs w:val="20"/>
        </w:rPr>
        <w:lastRenderedPageBreak/>
        <w:t xml:space="preserve">(TEDIPORT) undertook </w:t>
      </w:r>
      <w:proofErr w:type="spellStart"/>
      <w:r w:rsidRPr="004B4C90">
        <w:rPr>
          <w:rFonts w:ascii="Arial" w:hAnsi="Arial" w:cs="Arial"/>
          <w:color w:val="010000"/>
          <w:sz w:val="20"/>
          <w:szCs w:val="20"/>
        </w:rPr>
        <w:t>undertook</w:t>
      </w:r>
      <w:proofErr w:type="spellEnd"/>
      <w:r w:rsidRPr="004B4C90">
        <w:rPr>
          <w:rFonts w:ascii="Arial" w:hAnsi="Arial" w:cs="Arial"/>
          <w:color w:val="010000"/>
          <w:sz w:val="20"/>
          <w:szCs w:val="20"/>
        </w:rPr>
        <w:t xml:space="preserve"> the topographic and geological surveys on the shore and PVE undertook </w:t>
      </w:r>
      <w:proofErr w:type="spellStart"/>
      <w:r w:rsidRPr="004B4C90">
        <w:rPr>
          <w:rFonts w:ascii="Arial" w:hAnsi="Arial" w:cs="Arial"/>
          <w:color w:val="010000"/>
          <w:sz w:val="20"/>
          <w:szCs w:val="20"/>
        </w:rPr>
        <w:t>undertook</w:t>
      </w:r>
      <w:proofErr w:type="spellEnd"/>
      <w:r w:rsidRPr="004B4C90">
        <w:rPr>
          <w:rFonts w:ascii="Arial" w:hAnsi="Arial" w:cs="Arial"/>
          <w:color w:val="010000"/>
          <w:sz w:val="20"/>
          <w:szCs w:val="20"/>
        </w:rPr>
        <w:t xml:space="preserve"> the underwater topographic and geological surveys as per the Contract signed with Contractor establishing the FEED design (AFW - The United Kingdom)</w:t>
      </w:r>
    </w:p>
    <w:p w14:paraId="14F41BC1" w14:textId="77777777" w:rsidR="001C7F76" w:rsidRPr="004B4C90" w:rsidRDefault="000B46C8" w:rsidP="004B4C90">
      <w:pPr>
        <w:numPr>
          <w:ilvl w:val="1"/>
          <w:numId w:val="1"/>
        </w:numPr>
        <w:pBdr>
          <w:top w:val="nil"/>
          <w:left w:val="nil"/>
          <w:bottom w:val="nil"/>
          <w:right w:val="nil"/>
          <w:between w:val="nil"/>
        </w:pBdr>
        <w:tabs>
          <w:tab w:val="left" w:pos="450"/>
          <w:tab w:val="left" w:pos="129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Assess the adjusted Feasibility Research Report: Vietnam </w:t>
      </w:r>
      <w:proofErr w:type="spellStart"/>
      <w:r w:rsidRPr="004B4C90">
        <w:rPr>
          <w:rFonts w:ascii="Arial" w:hAnsi="Arial" w:cs="Arial"/>
          <w:color w:val="010000"/>
          <w:sz w:val="20"/>
          <w:szCs w:val="20"/>
        </w:rPr>
        <w:t>Insitute</w:t>
      </w:r>
      <w:proofErr w:type="spellEnd"/>
      <w:r w:rsidRPr="004B4C90">
        <w:rPr>
          <w:rFonts w:ascii="Arial" w:hAnsi="Arial" w:cs="Arial"/>
          <w:color w:val="010000"/>
          <w:sz w:val="20"/>
          <w:szCs w:val="20"/>
        </w:rPr>
        <w:t xml:space="preserve"> for Building Science and Technology (IBST) - the Ministry of Construction</w:t>
      </w:r>
    </w:p>
    <w:p w14:paraId="73D972B5" w14:textId="77777777" w:rsidR="001C7F76" w:rsidRPr="004B4C90" w:rsidRDefault="000B46C8" w:rsidP="004B4C90">
      <w:pPr>
        <w:numPr>
          <w:ilvl w:val="0"/>
          <w:numId w:val="1"/>
        </w:numPr>
        <w:pBdr>
          <w:top w:val="nil"/>
          <w:left w:val="nil"/>
          <w:bottom w:val="nil"/>
          <w:right w:val="nil"/>
          <w:between w:val="nil"/>
        </w:pBdr>
        <w:tabs>
          <w:tab w:val="left" w:pos="450"/>
          <w:tab w:val="left" w:pos="126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Construction site and the land use area: </w:t>
      </w:r>
    </w:p>
    <w:p w14:paraId="78128169" w14:textId="77777777" w:rsidR="001C7F76" w:rsidRPr="004B4C90" w:rsidRDefault="000B46C8" w:rsidP="004B4C90">
      <w:pPr>
        <w:numPr>
          <w:ilvl w:val="0"/>
          <w:numId w:val="4"/>
        </w:numPr>
        <w:pBdr>
          <w:top w:val="nil"/>
          <w:left w:val="nil"/>
          <w:bottom w:val="nil"/>
          <w:right w:val="nil"/>
          <w:between w:val="nil"/>
        </w:pBdr>
        <w:tabs>
          <w:tab w:val="left" w:pos="450"/>
          <w:tab w:val="left" w:pos="129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Construction site: Dung </w:t>
      </w:r>
      <w:proofErr w:type="spellStart"/>
      <w:r w:rsidRPr="004B4C90">
        <w:rPr>
          <w:rFonts w:ascii="Arial" w:hAnsi="Arial" w:cs="Arial"/>
          <w:color w:val="010000"/>
          <w:sz w:val="20"/>
          <w:szCs w:val="20"/>
        </w:rPr>
        <w:t>Quat</w:t>
      </w:r>
      <w:proofErr w:type="spellEnd"/>
      <w:r w:rsidRPr="004B4C90">
        <w:rPr>
          <w:rFonts w:ascii="Arial" w:hAnsi="Arial" w:cs="Arial"/>
          <w:color w:val="010000"/>
          <w:sz w:val="20"/>
          <w:szCs w:val="20"/>
        </w:rPr>
        <w:t xml:space="preserve"> Economic Zone, </w:t>
      </w:r>
      <w:proofErr w:type="spellStart"/>
      <w:r w:rsidRPr="004B4C90">
        <w:rPr>
          <w:rFonts w:ascii="Arial" w:hAnsi="Arial" w:cs="Arial"/>
          <w:color w:val="010000"/>
          <w:sz w:val="20"/>
          <w:szCs w:val="20"/>
        </w:rPr>
        <w:t>Binh</w:t>
      </w:r>
      <w:proofErr w:type="spellEnd"/>
      <w:r w:rsidRPr="004B4C90">
        <w:rPr>
          <w:rFonts w:ascii="Arial" w:hAnsi="Arial" w:cs="Arial"/>
          <w:color w:val="010000"/>
          <w:sz w:val="20"/>
          <w:szCs w:val="20"/>
        </w:rPr>
        <w:t xml:space="preserve"> Son District, </w:t>
      </w:r>
      <w:proofErr w:type="spellStart"/>
      <w:r w:rsidRPr="004B4C90">
        <w:rPr>
          <w:rFonts w:ascii="Arial" w:hAnsi="Arial" w:cs="Arial"/>
          <w:color w:val="010000"/>
          <w:sz w:val="20"/>
          <w:szCs w:val="20"/>
        </w:rPr>
        <w:t>Quang</w:t>
      </w:r>
      <w:proofErr w:type="spellEnd"/>
      <w:r w:rsidRPr="004B4C90">
        <w:rPr>
          <w:rFonts w:ascii="Arial" w:hAnsi="Arial" w:cs="Arial"/>
          <w:color w:val="010000"/>
          <w:sz w:val="20"/>
          <w:szCs w:val="20"/>
        </w:rPr>
        <w:t xml:space="preserve"> Ngai Province</w:t>
      </w:r>
    </w:p>
    <w:p w14:paraId="78FB9C7E" w14:textId="77777777" w:rsidR="001C7F76" w:rsidRPr="004B4C90" w:rsidRDefault="000B46C8" w:rsidP="004B4C90">
      <w:pPr>
        <w:numPr>
          <w:ilvl w:val="0"/>
          <w:numId w:val="4"/>
        </w:numPr>
        <w:pBdr>
          <w:top w:val="nil"/>
          <w:left w:val="nil"/>
          <w:bottom w:val="nil"/>
          <w:right w:val="nil"/>
          <w:between w:val="nil"/>
        </w:pBdr>
        <w:tabs>
          <w:tab w:val="left" w:pos="450"/>
          <w:tab w:val="left" w:pos="1277"/>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The total land use area is around 51.67 hectares.</w:t>
      </w:r>
    </w:p>
    <w:p w14:paraId="67AF77A5" w14:textId="77777777" w:rsidR="001C7F76" w:rsidRPr="004B4C90" w:rsidRDefault="000B46C8" w:rsidP="004B4C90">
      <w:pPr>
        <w:numPr>
          <w:ilvl w:val="0"/>
          <w:numId w:val="1"/>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The type, group of the Project; the type, level of the main construction, the duration of use according to the design of the main construction: </w:t>
      </w:r>
    </w:p>
    <w:p w14:paraId="518DE81B" w14:textId="77777777" w:rsidR="001C7F76" w:rsidRPr="004B4C90" w:rsidRDefault="000B46C8" w:rsidP="004B4C90">
      <w:pPr>
        <w:numPr>
          <w:ilvl w:val="0"/>
          <w:numId w:val="6"/>
        </w:numPr>
        <w:pBdr>
          <w:top w:val="nil"/>
          <w:left w:val="nil"/>
          <w:bottom w:val="nil"/>
          <w:right w:val="nil"/>
          <w:between w:val="nil"/>
        </w:pBdr>
        <w:tabs>
          <w:tab w:val="left" w:pos="450"/>
          <w:tab w:val="left" w:pos="128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Type, group of the Project: Project group A</w:t>
      </w:r>
    </w:p>
    <w:p w14:paraId="4C0E349E" w14:textId="77777777" w:rsidR="001C7F76" w:rsidRPr="004B4C90" w:rsidRDefault="000B46C8" w:rsidP="004B4C90">
      <w:pPr>
        <w:numPr>
          <w:ilvl w:val="0"/>
          <w:numId w:val="6"/>
        </w:numPr>
        <w:pBdr>
          <w:top w:val="nil"/>
          <w:left w:val="nil"/>
          <w:bottom w:val="nil"/>
          <w:right w:val="nil"/>
          <w:between w:val="nil"/>
        </w:pBdr>
        <w:tabs>
          <w:tab w:val="left" w:pos="450"/>
          <w:tab w:val="left" w:pos="128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Oil and gas industrial project level I</w:t>
      </w:r>
    </w:p>
    <w:p w14:paraId="58055EF3" w14:textId="77777777" w:rsidR="001C7F76" w:rsidRPr="004B4C90" w:rsidRDefault="000B46C8" w:rsidP="004B4C90">
      <w:pPr>
        <w:numPr>
          <w:ilvl w:val="0"/>
          <w:numId w:val="6"/>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Duration of use of the construction: The design life span for new equipment units, converted units, and all other items of the Project ranges from 10 to 20 years depending on each type of equipment.</w:t>
      </w:r>
    </w:p>
    <w:p w14:paraId="61186A0A" w14:textId="77777777" w:rsidR="001C7F76" w:rsidRPr="004B4C90" w:rsidRDefault="000B46C8" w:rsidP="004B4C90">
      <w:pPr>
        <w:numPr>
          <w:ilvl w:val="0"/>
          <w:numId w:val="1"/>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Number of design steps, list of major standards and regulations selected</w:t>
      </w:r>
    </w:p>
    <w:p w14:paraId="00A8F2B4" w14:textId="77777777" w:rsidR="001C7F76" w:rsidRPr="004B4C90" w:rsidRDefault="000B46C8" w:rsidP="004B4C90">
      <w:pPr>
        <w:numPr>
          <w:ilvl w:val="1"/>
          <w:numId w:val="1"/>
        </w:numPr>
        <w:pBdr>
          <w:top w:val="nil"/>
          <w:left w:val="nil"/>
          <w:bottom w:val="nil"/>
          <w:right w:val="nil"/>
          <w:between w:val="nil"/>
        </w:pBdr>
        <w:tabs>
          <w:tab w:val="left" w:pos="450"/>
          <w:tab w:val="left" w:pos="1285"/>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Number of design steps</w:t>
      </w:r>
    </w:p>
    <w:p w14:paraId="6C739A89" w14:textId="77777777" w:rsidR="001C7F76" w:rsidRPr="004B4C90" w:rsidRDefault="000B46C8" w:rsidP="004B4C90">
      <w:pPr>
        <w:numPr>
          <w:ilvl w:val="0"/>
          <w:numId w:val="8"/>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03-step design for the Project items (within the scope of the EPC Contract)</w:t>
      </w:r>
    </w:p>
    <w:p w14:paraId="29FC6DFC" w14:textId="77777777" w:rsidR="001C7F76" w:rsidRPr="004B4C90" w:rsidRDefault="000B46C8" w:rsidP="004B4C90">
      <w:pPr>
        <w:numPr>
          <w:ilvl w:val="0"/>
          <w:numId w:val="8"/>
        </w:numPr>
        <w:pBdr>
          <w:top w:val="nil"/>
          <w:left w:val="nil"/>
          <w:bottom w:val="nil"/>
          <w:right w:val="nil"/>
          <w:between w:val="nil"/>
        </w:pBdr>
        <w:tabs>
          <w:tab w:val="left" w:pos="450"/>
          <w:tab w:val="left" w:pos="128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02-step design for the remaining items</w:t>
      </w:r>
    </w:p>
    <w:p w14:paraId="5414376F" w14:textId="13EAFB6A" w:rsidR="001C7F76" w:rsidRPr="004B4C90" w:rsidRDefault="000B46C8" w:rsidP="004B4C90">
      <w:pPr>
        <w:numPr>
          <w:ilvl w:val="1"/>
          <w:numId w:val="1"/>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List of standards and regulations</w:t>
      </w:r>
      <w:r w:rsidR="00F81D93">
        <w:rPr>
          <w:rFonts w:ascii="Arial" w:hAnsi="Arial" w:cs="Arial"/>
          <w:color w:val="010000"/>
          <w:sz w:val="20"/>
          <w:szCs w:val="20"/>
        </w:rPr>
        <w:t>:</w:t>
      </w:r>
      <w:r w:rsidRPr="004B4C90">
        <w:rPr>
          <w:rFonts w:ascii="Arial" w:hAnsi="Arial" w:cs="Arial"/>
          <w:color w:val="010000"/>
          <w:sz w:val="20"/>
          <w:szCs w:val="20"/>
        </w:rPr>
        <w:t xml:space="preserve"> Details in the Document No. 23001-000-ITB-021 in the dossier of the Feasibility Research Report on adjusting the Project</w:t>
      </w:r>
    </w:p>
    <w:p w14:paraId="269F83D4" w14:textId="77777777" w:rsidR="001C7F76" w:rsidRPr="004B4C90" w:rsidRDefault="000B46C8" w:rsidP="004B4C90">
      <w:pPr>
        <w:numPr>
          <w:ilvl w:val="0"/>
          <w:numId w:val="1"/>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Total investment amount, value of expenses on items within the total construction investment amount:</w:t>
      </w:r>
    </w:p>
    <w:p w14:paraId="50912213" w14:textId="0F5E705E" w:rsidR="001C7F76" w:rsidRPr="004B4C90" w:rsidRDefault="000B46C8" w:rsidP="004B4C90">
      <w:pPr>
        <w:numPr>
          <w:ilvl w:val="0"/>
          <w:numId w:val="9"/>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Total construction investment amount adjuste</w:t>
      </w:r>
      <w:r w:rsidR="00F64213">
        <w:rPr>
          <w:rFonts w:ascii="Arial" w:hAnsi="Arial" w:cs="Arial"/>
          <w:color w:val="010000"/>
          <w:sz w:val="20"/>
          <w:szCs w:val="20"/>
        </w:rPr>
        <w:t>d (after tax): VND 36,397,266,32</w:t>
      </w:r>
      <w:r w:rsidRPr="004B4C90">
        <w:rPr>
          <w:rFonts w:ascii="Arial" w:hAnsi="Arial" w:cs="Arial"/>
          <w:color w:val="010000"/>
          <w:sz w:val="20"/>
          <w:szCs w:val="20"/>
        </w:rPr>
        <w:t>4,000, equivalent to USD 1,489,859,448</w:t>
      </w:r>
      <w:r w:rsidR="00E44BB8">
        <w:rPr>
          <w:rFonts w:ascii="Arial" w:hAnsi="Arial" w:cs="Arial"/>
          <w:color w:val="010000"/>
          <w:sz w:val="20"/>
          <w:szCs w:val="20"/>
        </w:rPr>
        <w:t>.</w:t>
      </w:r>
      <w:r w:rsidRPr="004B4C90">
        <w:rPr>
          <w:rFonts w:ascii="Arial" w:hAnsi="Arial" w:cs="Arial"/>
          <w:color w:val="010000"/>
          <w:sz w:val="20"/>
          <w:szCs w:val="20"/>
        </w:rPr>
        <w:t xml:space="preserve"> Total investment amount includes capital in Vietnamese and foreign currencies. The calculated conversion rate applied is the foreign currency selling of the Bank for Foreign Trade of Vietnam dated December 12, 2023: USD 1 = VND 24,430</w:t>
      </w:r>
    </w:p>
    <w:p w14:paraId="6AD5065F" w14:textId="77777777" w:rsidR="001C7F76" w:rsidRPr="004B4C90" w:rsidRDefault="000B46C8" w:rsidP="004B4C90">
      <w:pPr>
        <w:numPr>
          <w:ilvl w:val="0"/>
          <w:numId w:val="9"/>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Value of expenses on items within the total construction investment amount: Details according to the attached appendix.</w:t>
      </w:r>
    </w:p>
    <w:p w14:paraId="096251B1" w14:textId="77777777" w:rsidR="001C7F76" w:rsidRPr="004B4C90" w:rsidRDefault="000B46C8" w:rsidP="004B4C90">
      <w:pPr>
        <w:numPr>
          <w:ilvl w:val="0"/>
          <w:numId w:val="1"/>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Implementation progress: 37 months since the date of the signing of the EPC Contract; the Project is put into operation in 2028.</w:t>
      </w:r>
    </w:p>
    <w:p w14:paraId="1BE4AB6D" w14:textId="77777777" w:rsidR="001C7F76" w:rsidRPr="004B4C90" w:rsidRDefault="000B46C8" w:rsidP="004B4C90">
      <w:pPr>
        <w:numPr>
          <w:ilvl w:val="0"/>
          <w:numId w:val="1"/>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Investment capital and the expected plan to arrange the capital according to the implementation progress:</w:t>
      </w:r>
    </w:p>
    <w:p w14:paraId="2E9129F3" w14:textId="77777777" w:rsidR="001C7F76" w:rsidRPr="004B4C90" w:rsidRDefault="000B46C8" w:rsidP="004B4C90">
      <w:pPr>
        <w:numPr>
          <w:ilvl w:val="0"/>
          <w:numId w:val="10"/>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According to the equity/loan capital structure of 40/60, the equity/loan capital structure of the Project will be considered and adjusted to suit the actual ability to balance the resources.</w:t>
      </w:r>
    </w:p>
    <w:p w14:paraId="12030F58" w14:textId="77777777" w:rsidR="001C7F76" w:rsidRPr="004B4C90" w:rsidRDefault="000B46C8" w:rsidP="004B4C90">
      <w:pPr>
        <w:numPr>
          <w:ilvl w:val="0"/>
          <w:numId w:val="10"/>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lastRenderedPageBreak/>
        <w:t>On the equity: Accumulated from depreciation (if any), profit and share issuance for existing/new shareholders in case these above capital sources cannot meet the capital needs.</w:t>
      </w:r>
    </w:p>
    <w:p w14:paraId="1A706210" w14:textId="77777777" w:rsidR="001C7F76" w:rsidRPr="004B4C90" w:rsidRDefault="000B46C8" w:rsidP="004B4C90">
      <w:pPr>
        <w:numPr>
          <w:ilvl w:val="0"/>
          <w:numId w:val="10"/>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On the loan capital: The investor hires a consultant to arrange capital in the form of Export Credit (ECA) and loans from domestic and foreign commercial banks.</w:t>
      </w:r>
    </w:p>
    <w:p w14:paraId="646EB10A" w14:textId="77777777" w:rsidR="001C7F76" w:rsidRPr="004B4C90" w:rsidRDefault="000B46C8" w:rsidP="004B4C90">
      <w:pPr>
        <w:numPr>
          <w:ilvl w:val="0"/>
          <w:numId w:val="1"/>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Applied project management organizational form: The investor establishes a Project Management Board in combination with hiring a Project Management Consultant to support the investor in project management during the implementation phase of the EPC Contract.</w:t>
      </w:r>
    </w:p>
    <w:p w14:paraId="058AB370" w14:textId="77777777" w:rsidR="001C7F76" w:rsidRPr="004B4C90" w:rsidRDefault="000B46C8" w:rsidP="004B4C90">
      <w:pPr>
        <w:numPr>
          <w:ilvl w:val="0"/>
          <w:numId w:val="1"/>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Compensation, support and resettlement plan: The Project uses existing reserve land inside the refinery and expands an additional 41.01 hectares, which has been compensated, cleared and handed over to the investor by the People's Committee of </w:t>
      </w:r>
      <w:proofErr w:type="spellStart"/>
      <w:r w:rsidRPr="004B4C90">
        <w:rPr>
          <w:rFonts w:ascii="Arial" w:hAnsi="Arial" w:cs="Arial"/>
          <w:color w:val="010000"/>
          <w:sz w:val="20"/>
          <w:szCs w:val="20"/>
        </w:rPr>
        <w:t>Quang</w:t>
      </w:r>
      <w:proofErr w:type="spellEnd"/>
      <w:r w:rsidRPr="004B4C90">
        <w:rPr>
          <w:rFonts w:ascii="Arial" w:hAnsi="Arial" w:cs="Arial"/>
          <w:color w:val="010000"/>
          <w:sz w:val="20"/>
          <w:szCs w:val="20"/>
        </w:rPr>
        <w:t xml:space="preserve"> Ngai province.</w:t>
      </w:r>
    </w:p>
    <w:p w14:paraId="35128B42" w14:textId="4C559A3E" w:rsidR="001C7F76" w:rsidRPr="004B4C90" w:rsidRDefault="000B46C8" w:rsidP="004B4C90">
      <w:pPr>
        <w:numPr>
          <w:ilvl w:val="0"/>
          <w:numId w:val="1"/>
        </w:numPr>
        <w:pBdr>
          <w:top w:val="nil"/>
          <w:left w:val="nil"/>
          <w:bottom w:val="nil"/>
          <w:right w:val="nil"/>
          <w:between w:val="nil"/>
        </w:pBdr>
        <w:tabs>
          <w:tab w:val="left" w:pos="450"/>
          <w:tab w:val="left" w:pos="1289"/>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Other contents: Details in the Dossier of Feasible Research Report on Adjusting the Project to Upgrade and Expand Dung </w:t>
      </w:r>
      <w:proofErr w:type="spellStart"/>
      <w:r w:rsidRPr="004B4C90">
        <w:rPr>
          <w:rFonts w:ascii="Arial" w:hAnsi="Arial" w:cs="Arial"/>
          <w:color w:val="010000"/>
          <w:sz w:val="20"/>
          <w:szCs w:val="20"/>
        </w:rPr>
        <w:t>Quat</w:t>
      </w:r>
      <w:proofErr w:type="spellEnd"/>
      <w:r w:rsidRPr="004B4C90">
        <w:rPr>
          <w:rFonts w:ascii="Arial" w:hAnsi="Arial" w:cs="Arial"/>
          <w:color w:val="010000"/>
          <w:sz w:val="20"/>
          <w:szCs w:val="20"/>
        </w:rPr>
        <w:t xml:space="preserve"> Oil Refinery completed by PVE, published on March 9, 2024, assessed by IBST, the Ministry of Industry and Trade and other Ministries/ Departments</w:t>
      </w:r>
      <w:r w:rsidR="003345A0">
        <w:rPr>
          <w:rFonts w:ascii="Arial" w:hAnsi="Arial" w:cs="Arial"/>
          <w:color w:val="010000"/>
          <w:sz w:val="20"/>
          <w:szCs w:val="20"/>
        </w:rPr>
        <w:t xml:space="preserve">. </w:t>
      </w:r>
    </w:p>
    <w:p w14:paraId="237525F7" w14:textId="77777777"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‎‎Article 2. Assign the General Manager to organize the implementation of the following works:</w:t>
      </w:r>
    </w:p>
    <w:p w14:paraId="603E370A" w14:textId="0B0B0D00" w:rsidR="001C7F76" w:rsidRPr="004B4C90" w:rsidRDefault="000B46C8" w:rsidP="004B4C90">
      <w:pPr>
        <w:numPr>
          <w:ilvl w:val="0"/>
          <w:numId w:val="11"/>
        </w:numPr>
        <w:pBdr>
          <w:top w:val="nil"/>
          <w:left w:val="nil"/>
          <w:bottom w:val="nil"/>
          <w:right w:val="nil"/>
          <w:between w:val="nil"/>
        </w:pBdr>
        <w:tabs>
          <w:tab w:val="left" w:pos="450"/>
          <w:tab w:val="left" w:pos="1233"/>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Organize to implement the Project as per the provisions of the current law, ensuring the progress, quality, safety, and the efficiency of the investment</w:t>
      </w:r>
      <w:r w:rsidR="003345A0">
        <w:rPr>
          <w:rFonts w:ascii="Arial" w:hAnsi="Arial" w:cs="Arial"/>
          <w:color w:val="010000"/>
          <w:sz w:val="20"/>
          <w:szCs w:val="20"/>
        </w:rPr>
        <w:t xml:space="preserve">. </w:t>
      </w:r>
    </w:p>
    <w:p w14:paraId="4DD27152" w14:textId="088F4838" w:rsidR="001C7F76" w:rsidRPr="004B4C90" w:rsidRDefault="000B46C8" w:rsidP="004B4C90">
      <w:pPr>
        <w:numPr>
          <w:ilvl w:val="0"/>
          <w:numId w:val="11"/>
        </w:numPr>
        <w:pBdr>
          <w:top w:val="nil"/>
          <w:left w:val="nil"/>
          <w:bottom w:val="nil"/>
          <w:right w:val="nil"/>
          <w:between w:val="nil"/>
        </w:pBdr>
        <w:tabs>
          <w:tab w:val="left" w:pos="450"/>
          <w:tab w:val="left" w:pos="1206"/>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Research the measures to optimize the investment cost, increase the efficiency of the Project; control and manage </w:t>
      </w:r>
      <w:r w:rsidR="00400FF7">
        <w:rPr>
          <w:rFonts w:ascii="Arial" w:hAnsi="Arial" w:cs="Arial"/>
          <w:color w:val="010000"/>
          <w:sz w:val="20"/>
          <w:szCs w:val="20"/>
        </w:rPr>
        <w:t xml:space="preserve">strictly </w:t>
      </w:r>
      <w:r w:rsidRPr="004B4C90">
        <w:rPr>
          <w:rFonts w:ascii="Arial" w:hAnsi="Arial" w:cs="Arial"/>
          <w:color w:val="010000"/>
          <w:sz w:val="20"/>
          <w:szCs w:val="20"/>
        </w:rPr>
        <w:t>the investment expenses in the total investment amount in accordance with the current regulations in the upcoming phases of the Project</w:t>
      </w:r>
      <w:r w:rsidR="00DA163B">
        <w:rPr>
          <w:rFonts w:ascii="Arial" w:hAnsi="Arial" w:cs="Arial"/>
          <w:color w:val="010000"/>
          <w:sz w:val="20"/>
          <w:szCs w:val="20"/>
        </w:rPr>
        <w:t xml:space="preserve">. </w:t>
      </w:r>
    </w:p>
    <w:p w14:paraId="1D5225D7" w14:textId="2B4FD69A" w:rsidR="001C7F76" w:rsidRPr="004B4C90" w:rsidRDefault="000B46C8" w:rsidP="004B4C90">
      <w:pPr>
        <w:numPr>
          <w:ilvl w:val="0"/>
          <w:numId w:val="11"/>
        </w:numPr>
        <w:pBdr>
          <w:top w:val="nil"/>
          <w:left w:val="nil"/>
          <w:bottom w:val="nil"/>
          <w:right w:val="nil"/>
          <w:between w:val="nil"/>
        </w:pBdr>
        <w:tabs>
          <w:tab w:val="left" w:pos="450"/>
          <w:tab w:val="left" w:pos="1198"/>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After having selected the EPC constructor, review the parameters, update the efficiency of the Project, report to the Board of Directors to consider and decide before signing the EPC Contract</w:t>
      </w:r>
      <w:r w:rsidR="00CB6ED2">
        <w:rPr>
          <w:rFonts w:ascii="Arial" w:hAnsi="Arial" w:cs="Arial"/>
          <w:color w:val="010000"/>
          <w:sz w:val="20"/>
          <w:szCs w:val="20"/>
        </w:rPr>
        <w:t xml:space="preserve">. </w:t>
      </w:r>
    </w:p>
    <w:p w14:paraId="738274C8" w14:textId="3EA96361" w:rsidR="001C7F76" w:rsidRPr="004B4C90" w:rsidRDefault="000B46C8" w:rsidP="004B4C90">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4B4C90">
        <w:rPr>
          <w:rFonts w:ascii="Arial" w:hAnsi="Arial" w:cs="Arial"/>
          <w:color w:val="010000"/>
          <w:sz w:val="20"/>
          <w:szCs w:val="20"/>
        </w:rPr>
        <w:t xml:space="preserve">‎‎Article 3. Members of the Board of Directors, the General Manager, the Deputy General Managers, the Head of the DQRE, </w:t>
      </w:r>
      <w:r w:rsidR="00F22375">
        <w:rPr>
          <w:rFonts w:ascii="Arial" w:hAnsi="Arial" w:cs="Arial"/>
          <w:color w:val="010000"/>
          <w:sz w:val="20"/>
          <w:szCs w:val="20"/>
        </w:rPr>
        <w:t xml:space="preserve">and </w:t>
      </w:r>
      <w:bookmarkStart w:id="0" w:name="_GoBack"/>
      <w:bookmarkEnd w:id="0"/>
      <w:r w:rsidRPr="004B4C90">
        <w:rPr>
          <w:rFonts w:ascii="Arial" w:hAnsi="Arial" w:cs="Arial"/>
          <w:color w:val="010000"/>
          <w:sz w:val="20"/>
          <w:szCs w:val="20"/>
        </w:rPr>
        <w:t>Heads of relevant departments of the Company are responsible for the implementation of this Decision.</w:t>
      </w:r>
    </w:p>
    <w:sectPr w:rsidR="001C7F76" w:rsidRPr="004B4C90" w:rsidSect="0010311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0B28"/>
    <w:multiLevelType w:val="multilevel"/>
    <w:tmpl w:val="4F747E5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2AD1B24"/>
    <w:multiLevelType w:val="multilevel"/>
    <w:tmpl w:val="E4D09AF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44B3B41"/>
    <w:multiLevelType w:val="multilevel"/>
    <w:tmpl w:val="E4F2A81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CD3E5E"/>
    <w:multiLevelType w:val="multilevel"/>
    <w:tmpl w:val="DC8478A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5C08AE"/>
    <w:multiLevelType w:val="multilevel"/>
    <w:tmpl w:val="52E69FE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7242856"/>
    <w:multiLevelType w:val="multilevel"/>
    <w:tmpl w:val="33A21A4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AF91636"/>
    <w:multiLevelType w:val="multilevel"/>
    <w:tmpl w:val="B756062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DCD4532"/>
    <w:multiLevelType w:val="multilevel"/>
    <w:tmpl w:val="B0E0F84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73701BF"/>
    <w:multiLevelType w:val="multilevel"/>
    <w:tmpl w:val="4AF610C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75A135A"/>
    <w:multiLevelType w:val="multilevel"/>
    <w:tmpl w:val="319A305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D5F7A8C"/>
    <w:multiLevelType w:val="multilevel"/>
    <w:tmpl w:val="4E68626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8"/>
  </w:num>
  <w:num w:numId="4">
    <w:abstractNumId w:val="2"/>
  </w:num>
  <w:num w:numId="5">
    <w:abstractNumId w:val="3"/>
  </w:num>
  <w:num w:numId="6">
    <w:abstractNumId w:val="9"/>
  </w:num>
  <w:num w:numId="7">
    <w:abstractNumId w:val="7"/>
  </w:num>
  <w:num w:numId="8">
    <w:abstractNumId w:val="10"/>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76"/>
    <w:rsid w:val="000B46C8"/>
    <w:rsid w:val="0010311F"/>
    <w:rsid w:val="001C7F76"/>
    <w:rsid w:val="003345A0"/>
    <w:rsid w:val="00400FF7"/>
    <w:rsid w:val="004B4C90"/>
    <w:rsid w:val="00CB6ED2"/>
    <w:rsid w:val="00DA163B"/>
    <w:rsid w:val="00E44BB8"/>
    <w:rsid w:val="00EB68C1"/>
    <w:rsid w:val="00F22375"/>
    <w:rsid w:val="00F64213"/>
    <w:rsid w:val="00F81D9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BD99F"/>
  <w15:docId w15:val="{203BEC79-E102-460A-9D28-E2355DF1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Segoe UI" w:eastAsia="Segoe UI" w:hAnsi="Segoe UI" w:cs="Segoe UI"/>
      <w:b w:val="0"/>
      <w:bCs w:val="0"/>
      <w:i w:val="0"/>
      <w:iCs w:val="0"/>
      <w:smallCaps w:val="0"/>
      <w:strike w:val="0"/>
      <w:sz w:val="20"/>
      <w:szCs w:val="20"/>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0"/>
      <w:szCs w:val="20"/>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50"/>
      <w:szCs w:val="50"/>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D87B8F"/>
      <w:sz w:val="24"/>
      <w:szCs w:val="24"/>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paragraph" w:styleId="BodyText">
    <w:name w:val="Body Text"/>
    <w:basedOn w:val="Normal"/>
    <w:link w:val="BodyTextChar"/>
    <w:qFormat/>
    <w:pPr>
      <w:spacing w:line="259" w:lineRule="auto"/>
    </w:pPr>
    <w:rPr>
      <w:rFonts w:ascii="Times New Roman" w:eastAsia="Times New Roman" w:hAnsi="Times New Roman" w:cs="Times New Roman"/>
    </w:rPr>
  </w:style>
  <w:style w:type="paragraph" w:customStyle="1" w:styleId="Bodytext20">
    <w:name w:val="Body text (2)"/>
    <w:basedOn w:val="Normal"/>
    <w:link w:val="Bodytext2"/>
    <w:rPr>
      <w:rFonts w:ascii="Segoe UI" w:eastAsia="Segoe UI" w:hAnsi="Segoe UI" w:cs="Segoe UI"/>
      <w:sz w:val="20"/>
      <w:szCs w:val="20"/>
    </w:rPr>
  </w:style>
  <w:style w:type="paragraph" w:customStyle="1" w:styleId="Bodytext40">
    <w:name w:val="Body text (4)"/>
    <w:basedOn w:val="Normal"/>
    <w:link w:val="Bodytext4"/>
    <w:rPr>
      <w:rFonts w:ascii="Arial" w:eastAsia="Arial" w:hAnsi="Arial" w:cs="Arial"/>
      <w:sz w:val="20"/>
      <w:szCs w:val="20"/>
    </w:rPr>
  </w:style>
  <w:style w:type="paragraph" w:customStyle="1" w:styleId="Heading21">
    <w:name w:val="Heading #2"/>
    <w:basedOn w:val="Normal"/>
    <w:link w:val="Heading20"/>
    <w:pPr>
      <w:spacing w:line="259" w:lineRule="auto"/>
      <w:jc w:val="center"/>
      <w:outlineLvl w:val="1"/>
    </w:pPr>
    <w:rPr>
      <w:rFonts w:ascii="Times New Roman" w:eastAsia="Times New Roman" w:hAnsi="Times New Roman" w:cs="Times New Roman"/>
      <w:b/>
      <w:bCs/>
      <w:sz w:val="26"/>
      <w:szCs w:val="26"/>
    </w:rPr>
  </w:style>
  <w:style w:type="paragraph" w:customStyle="1" w:styleId="Heading11">
    <w:name w:val="Heading #1"/>
    <w:basedOn w:val="Normal"/>
    <w:link w:val="Heading10"/>
    <w:pPr>
      <w:spacing w:line="209" w:lineRule="auto"/>
      <w:ind w:hanging="730"/>
      <w:outlineLvl w:val="0"/>
    </w:pPr>
    <w:rPr>
      <w:rFonts w:ascii="Arial" w:eastAsia="Arial" w:hAnsi="Arial" w:cs="Arial"/>
      <w:sz w:val="50"/>
      <w:szCs w:val="50"/>
    </w:rPr>
  </w:style>
  <w:style w:type="paragraph" w:customStyle="1" w:styleId="Bodytext30">
    <w:name w:val="Body text (3)"/>
    <w:basedOn w:val="Normal"/>
    <w:link w:val="Bodytext3"/>
    <w:pPr>
      <w:spacing w:line="163" w:lineRule="auto"/>
      <w:jc w:val="center"/>
    </w:pPr>
    <w:rPr>
      <w:rFonts w:ascii="Arial" w:eastAsia="Arial" w:hAnsi="Arial" w:cs="Arial"/>
      <w:color w:val="D87B8F"/>
    </w:rPr>
  </w:style>
  <w:style w:type="paragraph" w:customStyle="1" w:styleId="Other0">
    <w:name w:val="Other"/>
    <w:basedOn w:val="Normal"/>
    <w:link w:val="Other"/>
    <w:pPr>
      <w:spacing w:line="259"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66GNGC5ZaSlY/OYrt7ZyVfHgg==">CgMxLjA4AHIhMXMyY3lEdXg1RmduU09VRmxIUVU3Zm00emtWbTk2S0Uz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1376</Words>
  <Characters>7501</Characters>
  <Application>Microsoft Office Word</Application>
  <DocSecurity>0</DocSecurity>
  <Lines>166</Lines>
  <Paragraphs>123</Paragraphs>
  <ScaleCrop>false</ScaleCrop>
  <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14</cp:revision>
  <dcterms:created xsi:type="dcterms:W3CDTF">2024-04-01T06:56:00Z</dcterms:created>
  <dcterms:modified xsi:type="dcterms:W3CDTF">2024-04-02T08:01:00Z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e741bb46077b2fa16c97b377c56b983954ad41eecb7f616096b9a1036c528b49</vt:lpwstr>
  </property>
</Properties>
</file>