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BC347" w14:textId="77777777" w:rsidR="00F83749" w:rsidRPr="002C53A8" w:rsidRDefault="00F83749" w:rsidP="00FE5BFE">
      <w:pPr>
        <w:pStyle w:val="Vnbnnidung0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4"/>
        </w:rPr>
      </w:pPr>
      <w:r w:rsidRPr="002C53A8">
        <w:rPr>
          <w:rFonts w:ascii="Arial" w:hAnsi="Arial" w:cs="Arial"/>
          <w:b/>
          <w:color w:val="010000"/>
          <w:sz w:val="20"/>
        </w:rPr>
        <w:t>CMM: Board Resolution</w:t>
      </w:r>
    </w:p>
    <w:p w14:paraId="70EF6BDB" w14:textId="77777777" w:rsidR="00F83749" w:rsidRPr="002C53A8" w:rsidRDefault="00F83749" w:rsidP="00FE5BFE">
      <w:pPr>
        <w:pStyle w:val="Vnbnnidung0"/>
        <w:spacing w:after="120" w:line="360" w:lineRule="auto"/>
        <w:jc w:val="both"/>
        <w:rPr>
          <w:rFonts w:ascii="Arial" w:hAnsi="Arial" w:cs="Arial"/>
          <w:bCs/>
          <w:color w:val="010000"/>
          <w:sz w:val="20"/>
          <w:szCs w:val="24"/>
        </w:rPr>
      </w:pPr>
      <w:r w:rsidRPr="002C53A8">
        <w:rPr>
          <w:rFonts w:ascii="Arial" w:hAnsi="Arial" w:cs="Arial"/>
          <w:color w:val="010000"/>
          <w:sz w:val="20"/>
        </w:rPr>
        <w:t xml:space="preserve">On March 29, 2024, Camimex Joint Stock Company announced Board Resolution No. 2903/NQ.HDQT.CMC as follows: </w:t>
      </w:r>
    </w:p>
    <w:p w14:paraId="2C09B482" w14:textId="77777777" w:rsidR="004E33EA" w:rsidRPr="002C53A8" w:rsidRDefault="00AB6F07" w:rsidP="00FE5BF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C53A8">
        <w:rPr>
          <w:rFonts w:ascii="Arial" w:hAnsi="Arial" w:cs="Arial"/>
          <w:color w:val="010000"/>
          <w:sz w:val="20"/>
        </w:rPr>
        <w:t>‎‎Article 1. Extend the time to organize the Annual General Meeting of Shareholders 2024 of Camimex Joint Stock Company to no later than June 30, 2024.</w:t>
      </w:r>
    </w:p>
    <w:p w14:paraId="0B5EB420" w14:textId="77777777" w:rsidR="004E33EA" w:rsidRPr="002C53A8" w:rsidRDefault="00AB6F07" w:rsidP="00FE5BF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C53A8">
        <w:rPr>
          <w:rFonts w:ascii="Arial" w:hAnsi="Arial" w:cs="Arial"/>
          <w:color w:val="010000"/>
          <w:sz w:val="20"/>
        </w:rPr>
        <w:t>‎‎Article 2. The organization of the meeting as prescribed in Article 1 of this Resolution is implemented as follows:</w:t>
      </w:r>
    </w:p>
    <w:p w14:paraId="4B30DB62" w14:textId="3D81510B" w:rsidR="004E33EA" w:rsidRPr="002C53A8" w:rsidRDefault="00AB6F07" w:rsidP="00FE5BFE">
      <w:pPr>
        <w:pStyle w:val="Vnbnnidung0"/>
        <w:numPr>
          <w:ilvl w:val="0"/>
          <w:numId w:val="2"/>
        </w:numPr>
        <w:tabs>
          <w:tab w:val="left" w:pos="432"/>
          <w:tab w:val="left" w:pos="110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C53A8">
        <w:rPr>
          <w:rFonts w:ascii="Arial" w:hAnsi="Arial" w:cs="Arial"/>
          <w:color w:val="010000"/>
          <w:sz w:val="20"/>
        </w:rPr>
        <w:t xml:space="preserve">The record date to exercise the rights to attend the Annual General Meeting of Shareholders 2024: </w:t>
      </w:r>
      <w:r w:rsidR="00FE5BFE">
        <w:rPr>
          <w:rFonts w:ascii="Arial" w:hAnsi="Arial" w:cs="Arial"/>
          <w:color w:val="010000"/>
          <w:sz w:val="20"/>
        </w:rPr>
        <w:t xml:space="preserve">is </w:t>
      </w:r>
      <w:r w:rsidRPr="002C53A8">
        <w:rPr>
          <w:rFonts w:ascii="Arial" w:hAnsi="Arial" w:cs="Arial"/>
          <w:color w:val="010000"/>
          <w:sz w:val="20"/>
        </w:rPr>
        <w:t>April 19, 2024.</w:t>
      </w:r>
    </w:p>
    <w:p w14:paraId="2C5D1B70" w14:textId="4C5A467F" w:rsidR="004E33EA" w:rsidRPr="002C53A8" w:rsidRDefault="00AB6F07" w:rsidP="00FE5BFE">
      <w:pPr>
        <w:pStyle w:val="Vnbnnidung0"/>
        <w:numPr>
          <w:ilvl w:val="0"/>
          <w:numId w:val="2"/>
        </w:numPr>
        <w:tabs>
          <w:tab w:val="left" w:pos="432"/>
          <w:tab w:val="left" w:pos="111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C53A8">
        <w:rPr>
          <w:rFonts w:ascii="Arial" w:hAnsi="Arial" w:cs="Arial"/>
          <w:color w:val="010000"/>
          <w:sz w:val="20"/>
        </w:rPr>
        <w:t>Organization Meeting time: Announce</w:t>
      </w:r>
      <w:r w:rsidR="002C53A8" w:rsidRPr="002C53A8">
        <w:rPr>
          <w:rFonts w:ascii="Arial" w:hAnsi="Arial" w:cs="Arial"/>
          <w:color w:val="010000"/>
          <w:sz w:val="20"/>
        </w:rPr>
        <w:t>d</w:t>
      </w:r>
      <w:r w:rsidRPr="002C53A8">
        <w:rPr>
          <w:rFonts w:ascii="Arial" w:hAnsi="Arial" w:cs="Arial"/>
          <w:color w:val="010000"/>
          <w:sz w:val="20"/>
        </w:rPr>
        <w:t xml:space="preserve"> later.</w:t>
      </w:r>
    </w:p>
    <w:p w14:paraId="0AF2738E" w14:textId="3E4F55E5" w:rsidR="004E33EA" w:rsidRPr="002C53A8" w:rsidRDefault="00AB6F07" w:rsidP="00FE5BFE">
      <w:pPr>
        <w:pStyle w:val="Vnbnnidung0"/>
        <w:numPr>
          <w:ilvl w:val="0"/>
          <w:numId w:val="2"/>
        </w:numPr>
        <w:tabs>
          <w:tab w:val="left" w:pos="432"/>
          <w:tab w:val="left" w:pos="111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C53A8">
        <w:rPr>
          <w:rFonts w:ascii="Arial" w:hAnsi="Arial" w:cs="Arial"/>
          <w:color w:val="010000"/>
          <w:sz w:val="20"/>
        </w:rPr>
        <w:t>Organization venue: Announce</w:t>
      </w:r>
      <w:r w:rsidR="002C53A8" w:rsidRPr="002C53A8">
        <w:rPr>
          <w:rFonts w:ascii="Arial" w:hAnsi="Arial" w:cs="Arial"/>
          <w:color w:val="010000"/>
          <w:sz w:val="20"/>
        </w:rPr>
        <w:t>d</w:t>
      </w:r>
      <w:r w:rsidRPr="002C53A8">
        <w:rPr>
          <w:rFonts w:ascii="Arial" w:hAnsi="Arial" w:cs="Arial"/>
          <w:color w:val="010000"/>
          <w:sz w:val="20"/>
        </w:rPr>
        <w:t xml:space="preserve"> later.</w:t>
      </w:r>
    </w:p>
    <w:p w14:paraId="1247B63A" w14:textId="77777777" w:rsidR="004E33EA" w:rsidRPr="002C53A8" w:rsidRDefault="00AB6F07" w:rsidP="00FE5BFE">
      <w:pPr>
        <w:pStyle w:val="Vnbnnidung0"/>
        <w:numPr>
          <w:ilvl w:val="0"/>
          <w:numId w:val="2"/>
        </w:numPr>
        <w:tabs>
          <w:tab w:val="left" w:pos="432"/>
          <w:tab w:val="left" w:pos="111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C53A8">
        <w:rPr>
          <w:rFonts w:ascii="Arial" w:hAnsi="Arial" w:cs="Arial"/>
          <w:color w:val="010000"/>
          <w:sz w:val="20"/>
        </w:rPr>
        <w:t>Meeting agenda:</w:t>
      </w:r>
    </w:p>
    <w:p w14:paraId="642685EA" w14:textId="19F3EABF" w:rsidR="004E33EA" w:rsidRPr="002C53A8" w:rsidRDefault="00AB6F07" w:rsidP="00FE5BFE">
      <w:pPr>
        <w:pStyle w:val="Vnbnnidung0"/>
        <w:numPr>
          <w:ilvl w:val="0"/>
          <w:numId w:val="1"/>
        </w:numPr>
        <w:tabs>
          <w:tab w:val="left" w:pos="432"/>
          <w:tab w:val="left" w:pos="132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C53A8">
        <w:rPr>
          <w:rFonts w:ascii="Arial" w:hAnsi="Arial" w:cs="Arial"/>
          <w:color w:val="010000"/>
          <w:sz w:val="20"/>
        </w:rPr>
        <w:t>Approve the reports of the Board of Directors, the Board of Management</w:t>
      </w:r>
      <w:r w:rsidR="00FE5BFE">
        <w:rPr>
          <w:rFonts w:ascii="Arial" w:hAnsi="Arial" w:cs="Arial"/>
          <w:color w:val="010000"/>
          <w:sz w:val="20"/>
        </w:rPr>
        <w:t>,</w:t>
      </w:r>
      <w:r w:rsidRPr="002C53A8">
        <w:rPr>
          <w:rFonts w:ascii="Arial" w:hAnsi="Arial" w:cs="Arial"/>
          <w:color w:val="010000"/>
          <w:sz w:val="20"/>
        </w:rPr>
        <w:t xml:space="preserve"> and the Supervisory Board, Audited </w:t>
      </w:r>
      <w:r w:rsidR="002C53A8" w:rsidRPr="002C53A8">
        <w:rPr>
          <w:rFonts w:ascii="Arial" w:hAnsi="Arial" w:cs="Arial"/>
          <w:color w:val="010000"/>
          <w:sz w:val="20"/>
        </w:rPr>
        <w:t>Financial Statements</w:t>
      </w:r>
      <w:r w:rsidRPr="002C53A8">
        <w:rPr>
          <w:rFonts w:ascii="Arial" w:hAnsi="Arial" w:cs="Arial"/>
          <w:color w:val="010000"/>
          <w:sz w:val="20"/>
        </w:rPr>
        <w:t xml:space="preserve"> 2023;</w:t>
      </w:r>
    </w:p>
    <w:p w14:paraId="34EC60B6" w14:textId="77777777" w:rsidR="004E33EA" w:rsidRPr="002C53A8" w:rsidRDefault="00AB6F07" w:rsidP="00FE5BFE">
      <w:pPr>
        <w:pStyle w:val="Vnbnnidung0"/>
        <w:numPr>
          <w:ilvl w:val="0"/>
          <w:numId w:val="1"/>
        </w:numPr>
        <w:tabs>
          <w:tab w:val="left" w:pos="432"/>
          <w:tab w:val="left" w:pos="128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C53A8">
        <w:rPr>
          <w:rFonts w:ascii="Arial" w:hAnsi="Arial" w:cs="Arial"/>
          <w:color w:val="010000"/>
          <w:sz w:val="20"/>
        </w:rPr>
        <w:t>Proposal on the Production and Business Plan for 2024;</w:t>
      </w:r>
    </w:p>
    <w:p w14:paraId="6B4705E0" w14:textId="77777777" w:rsidR="004E33EA" w:rsidRPr="002C53A8" w:rsidRDefault="00AB6F07" w:rsidP="00FE5BFE">
      <w:pPr>
        <w:pStyle w:val="Vnbnnidung0"/>
        <w:numPr>
          <w:ilvl w:val="0"/>
          <w:numId w:val="1"/>
        </w:numPr>
        <w:tabs>
          <w:tab w:val="left" w:pos="432"/>
          <w:tab w:val="left" w:pos="128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C53A8">
        <w:rPr>
          <w:rFonts w:ascii="Arial" w:hAnsi="Arial" w:cs="Arial"/>
          <w:color w:val="010000"/>
          <w:sz w:val="20"/>
        </w:rPr>
        <w:t>Proposal on the selection of an audit company for 2024.</w:t>
      </w:r>
    </w:p>
    <w:p w14:paraId="1EB94176" w14:textId="77777777" w:rsidR="004E33EA" w:rsidRPr="002C53A8" w:rsidRDefault="00AB6F07" w:rsidP="00FE5BFE">
      <w:pPr>
        <w:pStyle w:val="Vnbnnidung0"/>
        <w:numPr>
          <w:ilvl w:val="0"/>
          <w:numId w:val="1"/>
        </w:numPr>
        <w:tabs>
          <w:tab w:val="left" w:pos="432"/>
          <w:tab w:val="left" w:pos="128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C53A8">
        <w:rPr>
          <w:rFonts w:ascii="Arial" w:hAnsi="Arial" w:cs="Arial"/>
          <w:color w:val="010000"/>
          <w:sz w:val="20"/>
        </w:rPr>
        <w:t>Proposal on the remuneration of the Board of Directors and the Supervisory Board in 2024;</w:t>
      </w:r>
    </w:p>
    <w:p w14:paraId="441112AD" w14:textId="77777777" w:rsidR="004E33EA" w:rsidRPr="002C53A8" w:rsidRDefault="00AB6F07" w:rsidP="00FE5BFE">
      <w:pPr>
        <w:pStyle w:val="Vnbnnidung0"/>
        <w:numPr>
          <w:ilvl w:val="0"/>
          <w:numId w:val="1"/>
        </w:numPr>
        <w:tabs>
          <w:tab w:val="left" w:pos="432"/>
          <w:tab w:val="left" w:pos="132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C53A8">
        <w:rPr>
          <w:rFonts w:ascii="Arial" w:hAnsi="Arial" w:cs="Arial"/>
          <w:color w:val="010000"/>
          <w:sz w:val="20"/>
        </w:rPr>
        <w:t>And other contents under the authorities of the General Meeting of Shareholders (if any), specifically announced in the Notice of Invitation to the Annual General Meeting of Shareholders 2024.</w:t>
      </w:r>
    </w:p>
    <w:p w14:paraId="5E064346" w14:textId="39F39193" w:rsidR="00F83749" w:rsidRPr="002C53A8" w:rsidRDefault="00AB6F07" w:rsidP="00FE5BF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C53A8">
        <w:rPr>
          <w:rFonts w:ascii="Arial" w:hAnsi="Arial" w:cs="Arial"/>
          <w:color w:val="010000"/>
          <w:sz w:val="20"/>
        </w:rPr>
        <w:t>‎‎Article 3. Assign the Chair of the Board of Directors to decide on the specific meeting time and venue, prepare the meeting documents, make decisions</w:t>
      </w:r>
      <w:r w:rsidR="00FE5BFE">
        <w:rPr>
          <w:rFonts w:ascii="Arial" w:hAnsi="Arial" w:cs="Arial"/>
          <w:color w:val="010000"/>
          <w:sz w:val="20"/>
        </w:rPr>
        <w:t>,</w:t>
      </w:r>
      <w:r w:rsidRPr="002C53A8">
        <w:rPr>
          <w:rFonts w:ascii="Arial" w:hAnsi="Arial" w:cs="Arial"/>
          <w:color w:val="010000"/>
          <w:sz w:val="20"/>
        </w:rPr>
        <w:t xml:space="preserve"> and perform other necessary tasks to organize the Meeting </w:t>
      </w:r>
      <w:r w:rsidR="00FE5BFE">
        <w:rPr>
          <w:rFonts w:ascii="Arial" w:hAnsi="Arial" w:cs="Arial"/>
          <w:color w:val="010000"/>
          <w:sz w:val="20"/>
        </w:rPr>
        <w:t>following</w:t>
      </w:r>
      <w:r w:rsidRPr="002C53A8">
        <w:rPr>
          <w:rFonts w:ascii="Arial" w:hAnsi="Arial" w:cs="Arial"/>
          <w:color w:val="010000"/>
          <w:sz w:val="20"/>
        </w:rPr>
        <w:t xml:space="preserve"> the provisions of law and the Company's Charter.</w:t>
      </w:r>
    </w:p>
    <w:p w14:paraId="314FB8C3" w14:textId="77777777" w:rsidR="004E33EA" w:rsidRPr="002C53A8" w:rsidRDefault="00AB6F07" w:rsidP="00FE5BF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C53A8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p w14:paraId="5A6FCCA2" w14:textId="71AC1E05" w:rsidR="004E33EA" w:rsidRPr="002C53A8" w:rsidRDefault="00AB6F07" w:rsidP="00FE5BF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C53A8">
        <w:rPr>
          <w:rFonts w:ascii="Arial" w:hAnsi="Arial" w:cs="Arial"/>
          <w:color w:val="010000"/>
          <w:sz w:val="20"/>
        </w:rPr>
        <w:t>The Chair and members of the Board of Directors, the Board of Management, departments of the Company, related shareholders</w:t>
      </w:r>
      <w:r w:rsidR="001C7403">
        <w:rPr>
          <w:rFonts w:ascii="Arial" w:hAnsi="Arial" w:cs="Arial"/>
          <w:color w:val="010000"/>
          <w:sz w:val="20"/>
        </w:rPr>
        <w:t>,</w:t>
      </w:r>
      <w:r w:rsidRPr="002C53A8">
        <w:rPr>
          <w:rFonts w:ascii="Arial" w:hAnsi="Arial" w:cs="Arial"/>
          <w:color w:val="010000"/>
          <w:sz w:val="20"/>
        </w:rPr>
        <w:t xml:space="preserve"> and employees, within the scope of their assigned tasks and powers, are responsible for the implementation of this Resolution./.</w:t>
      </w:r>
      <w:bookmarkStart w:id="0" w:name="_GoBack"/>
      <w:bookmarkEnd w:id="0"/>
    </w:p>
    <w:sectPr w:rsidR="004E33EA" w:rsidRPr="002C53A8" w:rsidSect="00C17812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2094" w14:textId="77777777" w:rsidR="00C9658C" w:rsidRDefault="00C9658C">
      <w:r>
        <w:separator/>
      </w:r>
    </w:p>
  </w:endnote>
  <w:endnote w:type="continuationSeparator" w:id="0">
    <w:p w14:paraId="4DB09AEF" w14:textId="77777777" w:rsidR="00C9658C" w:rsidRDefault="00C9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5C128" w14:textId="77777777" w:rsidR="00C9658C" w:rsidRDefault="00C9658C"/>
  </w:footnote>
  <w:footnote w:type="continuationSeparator" w:id="0">
    <w:p w14:paraId="1DD13ACF" w14:textId="77777777" w:rsidR="00C9658C" w:rsidRDefault="00C965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71517"/>
    <w:multiLevelType w:val="multilevel"/>
    <w:tmpl w:val="FF3C2F7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201CD6"/>
    <w:multiLevelType w:val="multilevel"/>
    <w:tmpl w:val="7438E15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EA"/>
    <w:rsid w:val="000977DF"/>
    <w:rsid w:val="001C7403"/>
    <w:rsid w:val="002C53A8"/>
    <w:rsid w:val="004E33EA"/>
    <w:rsid w:val="00696DA3"/>
    <w:rsid w:val="00AB6F07"/>
    <w:rsid w:val="00C17812"/>
    <w:rsid w:val="00C9658C"/>
    <w:rsid w:val="00F83749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CA896"/>
  <w15:docId w15:val="{AEE48D21-E17A-4315-B758-CFFD5756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nbnnidung20">
    <w:name w:val="Văn bản nội dung (2)"/>
    <w:basedOn w:val="Normal"/>
    <w:link w:val="Vnbnnidung2"/>
    <w:pPr>
      <w:ind w:firstLine="2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1461</Characters>
  <Application>Microsoft Office Word</Application>
  <DocSecurity>0</DocSecurity>
  <Lines>27</Lines>
  <Paragraphs>18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2024-04-01T03:45:00Z</dcterms:created>
  <dcterms:modified xsi:type="dcterms:W3CDTF">2024-04-02T08:29:00Z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2c26ae12a20aa935cf47f0ddc45f63dbc891b73bbec4b5edd6bbe4c8ad835bde</vt:lpwstr>
  </property>
</Properties>
</file>