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1DAB" w14:textId="77777777" w:rsidR="00083BCB" w:rsidRPr="00067CF0" w:rsidRDefault="00083BCB" w:rsidP="00474CDE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067CF0">
        <w:rPr>
          <w:rFonts w:ascii="Arial" w:hAnsi="Arial" w:cs="Arial"/>
          <w:b/>
          <w:color w:val="010000"/>
          <w:sz w:val="20"/>
        </w:rPr>
        <w:t>DPC: Board Resolution</w:t>
      </w:r>
    </w:p>
    <w:p w14:paraId="1AC3DCF9" w14:textId="77777777" w:rsidR="00060312" w:rsidRPr="00067CF0" w:rsidRDefault="00083BCB" w:rsidP="00474CDE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67CF0">
        <w:rPr>
          <w:rFonts w:ascii="Arial" w:hAnsi="Arial" w:cs="Arial"/>
          <w:color w:val="010000"/>
          <w:sz w:val="20"/>
        </w:rPr>
        <w:t>On March 29, 2024, Da Nang Plastic JSC announced Resolution No. 02/2024/NQ-DPC/HDQT as follows:</w:t>
      </w:r>
    </w:p>
    <w:p w14:paraId="67010A9B" w14:textId="77777777" w:rsidR="00060312" w:rsidRPr="00067CF0" w:rsidRDefault="008B6C9F" w:rsidP="00474CDE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67CF0">
        <w:rPr>
          <w:rFonts w:ascii="Arial" w:hAnsi="Arial" w:cs="Arial"/>
          <w:color w:val="010000"/>
          <w:sz w:val="20"/>
        </w:rPr>
        <w:t>Article 1: Approve transactions with related parties according to the attached list with transaction or contract value less than 20% of total asset value in the most recent Financial Statements according to Article 34 of the Company's Charter.</w:t>
      </w:r>
      <w:bookmarkStart w:id="0" w:name="_GoBack"/>
      <w:bookmarkEnd w:id="0"/>
    </w:p>
    <w:p w14:paraId="2E00C775" w14:textId="77777777" w:rsidR="00060312" w:rsidRPr="00067CF0" w:rsidRDefault="008B6C9F" w:rsidP="00474CDE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67CF0">
        <w:rPr>
          <w:rFonts w:ascii="Arial" w:hAnsi="Arial" w:cs="Arial"/>
          <w:color w:val="010000"/>
          <w:sz w:val="20"/>
        </w:rPr>
        <w:t>Article 2: The Board of Directors assigns the Manager to negotiate details and sign these transactions or contracts.</w:t>
      </w:r>
    </w:p>
    <w:p w14:paraId="6EF0A39A" w14:textId="77777777" w:rsidR="00060312" w:rsidRPr="00DA3DF6" w:rsidRDefault="008B6C9F" w:rsidP="00474CDE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67CF0">
        <w:rPr>
          <w:rFonts w:ascii="Arial" w:hAnsi="Arial" w:cs="Arial"/>
          <w:color w:val="010000"/>
          <w:sz w:val="20"/>
        </w:rPr>
        <w:t>Article 3: This Resolution takes effect from the date of its signing. The Board of Directors, the Manager, and relevant departments are responsible for implementing this Resolution.</w:t>
      </w:r>
    </w:p>
    <w:sectPr w:rsidR="00060312" w:rsidRPr="00DA3DF6" w:rsidSect="00DA3DF6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ECD51" w14:textId="77777777" w:rsidR="00321748" w:rsidRDefault="00321748">
      <w:r>
        <w:separator/>
      </w:r>
    </w:p>
  </w:endnote>
  <w:endnote w:type="continuationSeparator" w:id="0">
    <w:p w14:paraId="58E4A873" w14:textId="77777777" w:rsidR="00321748" w:rsidRDefault="0032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9FEA" w14:textId="77777777" w:rsidR="00321748" w:rsidRDefault="00321748"/>
  </w:footnote>
  <w:footnote w:type="continuationSeparator" w:id="0">
    <w:p w14:paraId="37C28271" w14:textId="77777777" w:rsidR="00321748" w:rsidRDefault="003217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3106"/>
    <w:multiLevelType w:val="multilevel"/>
    <w:tmpl w:val="9C9ED0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670BFA"/>
    <w:multiLevelType w:val="multilevel"/>
    <w:tmpl w:val="7182F7E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12"/>
    <w:rsid w:val="00060312"/>
    <w:rsid w:val="00067CF0"/>
    <w:rsid w:val="00083BCB"/>
    <w:rsid w:val="00167FA3"/>
    <w:rsid w:val="00321748"/>
    <w:rsid w:val="00474CDE"/>
    <w:rsid w:val="00654380"/>
    <w:rsid w:val="006F233C"/>
    <w:rsid w:val="008B6C9F"/>
    <w:rsid w:val="00DA3DF6"/>
    <w:rsid w:val="00D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04A3"/>
  <w15:docId w15:val="{B5BA193A-1E3E-46EA-9086-55C89453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i/>
      <w:iCs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line="32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2024-04-01T04:33:00Z</dcterms:created>
  <dcterms:modified xsi:type="dcterms:W3CDTF">2024-04-02T03:18:00Z</dcterms:modified>
</cp:coreProperties>
</file>