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DC2A4" w14:textId="77777777" w:rsidR="002F2C1A" w:rsidRPr="00E72B5C" w:rsidRDefault="007D0767" w:rsidP="00E72B5C">
      <w:pPr>
        <w:pBdr>
          <w:top w:val="nil"/>
          <w:left w:val="nil"/>
          <w:bottom w:val="nil"/>
          <w:right w:val="nil"/>
          <w:between w:val="nil"/>
        </w:pBdr>
        <w:tabs>
          <w:tab w:val="left" w:pos="432"/>
          <w:tab w:val="left" w:pos="10554"/>
        </w:tabs>
        <w:spacing w:after="120" w:line="360" w:lineRule="auto"/>
        <w:rPr>
          <w:rFonts w:ascii="Arial" w:eastAsia="Arial" w:hAnsi="Arial" w:cs="Arial"/>
          <w:b/>
          <w:color w:val="010000"/>
          <w:sz w:val="20"/>
          <w:szCs w:val="20"/>
        </w:rPr>
      </w:pPr>
      <w:r w:rsidRPr="00E72B5C">
        <w:rPr>
          <w:rFonts w:ascii="Arial" w:hAnsi="Arial" w:cs="Arial"/>
          <w:b/>
          <w:color w:val="010000"/>
          <w:sz w:val="20"/>
        </w:rPr>
        <w:t>DSC: Annual General Mandate 2024</w:t>
      </w:r>
    </w:p>
    <w:p w14:paraId="7290D61B" w14:textId="77777777" w:rsidR="002F2C1A" w:rsidRPr="00E72B5C" w:rsidRDefault="007D0767" w:rsidP="00E72B5C">
      <w:pPr>
        <w:pBdr>
          <w:top w:val="nil"/>
          <w:left w:val="nil"/>
          <w:bottom w:val="nil"/>
          <w:right w:val="nil"/>
          <w:between w:val="nil"/>
        </w:pBdr>
        <w:tabs>
          <w:tab w:val="left" w:pos="432"/>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On March 25, 2024, DSC Securities Corporation announced General Mandate No. 01/2024/NQ-DHDCD/DSC as follows:</w:t>
      </w:r>
    </w:p>
    <w:p w14:paraId="3972C36B" w14:textId="77777777" w:rsidR="002F2C1A" w:rsidRPr="00E72B5C" w:rsidRDefault="007D0767" w:rsidP="00E72B5C">
      <w:pPr>
        <w:pBdr>
          <w:top w:val="nil"/>
          <w:left w:val="nil"/>
          <w:bottom w:val="nil"/>
          <w:right w:val="nil"/>
          <w:between w:val="nil"/>
        </w:pBdr>
        <w:tabs>
          <w:tab w:val="left" w:pos="432"/>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‎‎Article 1. Approve the following Reports:</w:t>
      </w:r>
    </w:p>
    <w:p w14:paraId="02BFB239" w14:textId="77777777" w:rsidR="002F2C1A" w:rsidRPr="00E72B5C" w:rsidRDefault="007D0767" w:rsidP="00E72B5C">
      <w:pPr>
        <w:numPr>
          <w:ilvl w:val="0"/>
          <w:numId w:val="3"/>
        </w:numPr>
        <w:pBdr>
          <w:top w:val="nil"/>
          <w:left w:val="nil"/>
          <w:bottom w:val="nil"/>
          <w:right w:val="nil"/>
          <w:between w:val="nil"/>
        </w:pBd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Report on activities of the Board of Directors;</w:t>
      </w:r>
    </w:p>
    <w:p w14:paraId="0F24D9BA" w14:textId="143FC193" w:rsidR="002F2C1A" w:rsidRPr="00E72B5C" w:rsidRDefault="007D0767" w:rsidP="00E72B5C">
      <w:pPr>
        <w:pBdr>
          <w:top w:val="nil"/>
          <w:left w:val="nil"/>
          <w:bottom w:val="nil"/>
          <w:right w:val="nil"/>
          <w:between w:val="nil"/>
        </w:pBd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Business</w:t>
      </w:r>
      <w:r w:rsidR="00D13EE2" w:rsidRPr="00E72B5C">
        <w:rPr>
          <w:rFonts w:ascii="Arial" w:hAnsi="Arial" w:cs="Arial"/>
          <w:color w:val="010000"/>
          <w:sz w:val="20"/>
        </w:rPr>
        <w:t xml:space="preserve"> activity</w:t>
      </w:r>
      <w:r w:rsidRPr="00E72B5C">
        <w:rPr>
          <w:rFonts w:ascii="Arial" w:hAnsi="Arial" w:cs="Arial"/>
          <w:color w:val="010000"/>
          <w:sz w:val="20"/>
        </w:rPr>
        <w:t xml:space="preserve"> results of the Company</w:t>
      </w:r>
    </w:p>
    <w:p w14:paraId="13C15DB6" w14:textId="77777777" w:rsidR="002F2C1A" w:rsidRPr="00E72B5C" w:rsidRDefault="007D0767" w:rsidP="00E72B5C">
      <w:pPr>
        <w:numPr>
          <w:ilvl w:val="0"/>
          <w:numId w:val="2"/>
        </w:numPr>
        <w:pBdr>
          <w:top w:val="nil"/>
          <w:left w:val="nil"/>
          <w:bottom w:val="nil"/>
          <w:right w:val="nil"/>
          <w:between w:val="nil"/>
        </w:pBdr>
        <w:tabs>
          <w:tab w:val="left" w:pos="432"/>
          <w:tab w:val="left" w:pos="720"/>
          <w:tab w:val="left" w:pos="10554"/>
        </w:tabs>
        <w:spacing w:after="120" w:line="360" w:lineRule="auto"/>
        <w:ind w:left="0" w:firstLine="0"/>
        <w:rPr>
          <w:rFonts w:ascii="Arial" w:eastAsia="Arial" w:hAnsi="Arial" w:cs="Arial"/>
          <w:color w:val="010000"/>
          <w:sz w:val="20"/>
          <w:szCs w:val="20"/>
        </w:rPr>
      </w:pPr>
      <w:r w:rsidRPr="00E72B5C">
        <w:rPr>
          <w:rFonts w:ascii="Arial" w:hAnsi="Arial" w:cs="Arial"/>
          <w:color w:val="010000"/>
          <w:sz w:val="20"/>
        </w:rPr>
        <w:t>Operating revenue in 2023: VND 438.447 billion;</w:t>
      </w:r>
    </w:p>
    <w:p w14:paraId="7C34CEE1" w14:textId="77777777" w:rsidR="002F2C1A" w:rsidRPr="00E72B5C" w:rsidRDefault="007D0767" w:rsidP="00E72B5C">
      <w:pPr>
        <w:numPr>
          <w:ilvl w:val="0"/>
          <w:numId w:val="2"/>
        </w:numPr>
        <w:pBdr>
          <w:top w:val="nil"/>
          <w:left w:val="nil"/>
          <w:bottom w:val="nil"/>
          <w:right w:val="nil"/>
          <w:between w:val="nil"/>
        </w:pBdr>
        <w:tabs>
          <w:tab w:val="left" w:pos="432"/>
          <w:tab w:val="left" w:pos="720"/>
          <w:tab w:val="left" w:pos="10554"/>
        </w:tabs>
        <w:spacing w:after="120" w:line="360" w:lineRule="auto"/>
        <w:ind w:left="0" w:firstLine="0"/>
        <w:rPr>
          <w:rFonts w:ascii="Arial" w:eastAsia="Arial" w:hAnsi="Arial" w:cs="Arial"/>
          <w:color w:val="010000"/>
          <w:sz w:val="20"/>
          <w:szCs w:val="20"/>
        </w:rPr>
      </w:pPr>
      <w:r w:rsidRPr="00E72B5C">
        <w:rPr>
          <w:rFonts w:ascii="Arial" w:hAnsi="Arial" w:cs="Arial"/>
          <w:color w:val="010000"/>
          <w:sz w:val="20"/>
        </w:rPr>
        <w:t>Profit after tax in 2023: VND 119.917 billion;</w:t>
      </w:r>
    </w:p>
    <w:p w14:paraId="10F17DAF" w14:textId="77777777" w:rsidR="002F2C1A" w:rsidRPr="00E72B5C" w:rsidRDefault="007D0767" w:rsidP="00E72B5C">
      <w:pPr>
        <w:numPr>
          <w:ilvl w:val="0"/>
          <w:numId w:val="2"/>
        </w:numPr>
        <w:pBdr>
          <w:top w:val="nil"/>
          <w:left w:val="nil"/>
          <w:bottom w:val="nil"/>
          <w:right w:val="nil"/>
          <w:between w:val="nil"/>
        </w:pBdr>
        <w:tabs>
          <w:tab w:val="left" w:pos="432"/>
          <w:tab w:val="left" w:pos="720"/>
          <w:tab w:val="left" w:pos="10554"/>
        </w:tabs>
        <w:spacing w:after="120" w:line="360" w:lineRule="auto"/>
        <w:ind w:left="0" w:firstLine="0"/>
        <w:rPr>
          <w:rFonts w:ascii="Arial" w:eastAsia="Arial" w:hAnsi="Arial" w:cs="Arial"/>
          <w:color w:val="010000"/>
          <w:sz w:val="20"/>
          <w:szCs w:val="20"/>
        </w:rPr>
      </w:pPr>
      <w:r w:rsidRPr="00E72B5C">
        <w:rPr>
          <w:rFonts w:ascii="Arial" w:hAnsi="Arial" w:cs="Arial"/>
          <w:color w:val="010000"/>
          <w:sz w:val="20"/>
        </w:rPr>
        <w:t>Some main targets of business results in 2023 are as follows:</w:t>
      </w:r>
    </w:p>
    <w:p w14:paraId="1B6F6470"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Unit: Billion VND</w:t>
      </w:r>
    </w:p>
    <w:tbl>
      <w:tblPr>
        <w:tblStyle w:val="a"/>
        <w:tblW w:w="5000" w:type="pct"/>
        <w:tblBorders>
          <w:top w:val="nil"/>
          <w:left w:val="nil"/>
          <w:bottom w:val="nil"/>
          <w:right w:val="nil"/>
          <w:insideH w:val="nil"/>
          <w:insideV w:val="nil"/>
        </w:tblBorders>
        <w:tblLook w:val="0600" w:firstRow="0" w:lastRow="0" w:firstColumn="0" w:lastColumn="0" w:noHBand="1" w:noVBand="1"/>
      </w:tblPr>
      <w:tblGrid>
        <w:gridCol w:w="2207"/>
        <w:gridCol w:w="2253"/>
        <w:gridCol w:w="2253"/>
        <w:gridCol w:w="2298"/>
      </w:tblGrid>
      <w:tr w:rsidR="002F2C1A" w:rsidRPr="00E72B5C" w14:paraId="4A9A5128" w14:textId="77777777" w:rsidTr="00E72B5C">
        <w:tc>
          <w:tcPr>
            <w:tcW w:w="1225" w:type="pct"/>
            <w:vMerge w:val="restart"/>
            <w:tcBorders>
              <w:top w:val="single" w:sz="6" w:space="0" w:color="000000"/>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1B6CE991"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Targets</w:t>
            </w:r>
          </w:p>
        </w:tc>
        <w:tc>
          <w:tcPr>
            <w:tcW w:w="1250" w:type="pct"/>
            <w:vMerge w:val="restart"/>
            <w:tcBorders>
              <w:top w:val="single" w:sz="6" w:space="0" w:color="000000"/>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3C492117"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2022 Results</w:t>
            </w:r>
          </w:p>
        </w:tc>
        <w:tc>
          <w:tcPr>
            <w:tcW w:w="2525" w:type="pct"/>
            <w:gridSpan w:val="2"/>
            <w:tcBorders>
              <w:top w:val="single" w:sz="6" w:space="0" w:color="000000"/>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5C8738C9"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2023</w:t>
            </w:r>
          </w:p>
        </w:tc>
      </w:tr>
      <w:tr w:rsidR="002F2C1A" w:rsidRPr="00E72B5C" w14:paraId="34BB6C4E" w14:textId="77777777" w:rsidTr="00E72B5C">
        <w:tc>
          <w:tcPr>
            <w:tcW w:w="1225" w:type="pct"/>
            <w:vMerge/>
            <w:tcBorders>
              <w:top w:val="single" w:sz="5" w:space="0" w:color="000000"/>
              <w:left w:val="single" w:sz="6" w:space="0" w:color="000000"/>
              <w:bottom w:val="single" w:sz="5" w:space="0" w:color="000000"/>
              <w:right w:val="single" w:sz="6" w:space="0" w:color="000000"/>
            </w:tcBorders>
            <w:shd w:val="clear" w:color="auto" w:fill="auto"/>
            <w:tcMar>
              <w:top w:w="100" w:type="dxa"/>
              <w:left w:w="100" w:type="dxa"/>
              <w:bottom w:w="100" w:type="dxa"/>
              <w:right w:w="100" w:type="dxa"/>
            </w:tcMar>
            <w:vAlign w:val="center"/>
          </w:tcPr>
          <w:p w14:paraId="1D285914" w14:textId="77777777" w:rsidR="002F2C1A" w:rsidRPr="00E72B5C" w:rsidRDefault="002F2C1A" w:rsidP="00E72B5C">
            <w:pPr>
              <w:tabs>
                <w:tab w:val="left" w:pos="432"/>
                <w:tab w:val="left" w:pos="720"/>
                <w:tab w:val="left" w:pos="10554"/>
              </w:tabs>
              <w:spacing w:after="120" w:line="360" w:lineRule="auto"/>
              <w:rPr>
                <w:rFonts w:ascii="Arial" w:eastAsia="Arial" w:hAnsi="Arial" w:cs="Arial"/>
                <w:color w:val="010000"/>
                <w:sz w:val="20"/>
                <w:szCs w:val="20"/>
              </w:rPr>
            </w:pPr>
          </w:p>
        </w:tc>
        <w:tc>
          <w:tcPr>
            <w:tcW w:w="1250" w:type="pct"/>
            <w:vMerge/>
            <w:tcBorders>
              <w:top w:val="single" w:sz="5" w:space="0" w:color="000000"/>
              <w:left w:val="single" w:sz="6" w:space="0" w:color="000000"/>
              <w:bottom w:val="single" w:sz="5" w:space="0" w:color="000000"/>
              <w:right w:val="single" w:sz="6" w:space="0" w:color="000000"/>
            </w:tcBorders>
            <w:shd w:val="clear" w:color="auto" w:fill="auto"/>
            <w:tcMar>
              <w:top w:w="100" w:type="dxa"/>
              <w:left w:w="100" w:type="dxa"/>
              <w:bottom w:w="100" w:type="dxa"/>
              <w:right w:w="100" w:type="dxa"/>
            </w:tcMar>
            <w:vAlign w:val="center"/>
          </w:tcPr>
          <w:p w14:paraId="2FEE1D2C" w14:textId="77777777" w:rsidR="002F2C1A" w:rsidRPr="00E72B5C" w:rsidRDefault="002F2C1A" w:rsidP="00E72B5C">
            <w:pPr>
              <w:tabs>
                <w:tab w:val="left" w:pos="432"/>
                <w:tab w:val="left" w:pos="720"/>
                <w:tab w:val="left" w:pos="10554"/>
              </w:tabs>
              <w:spacing w:after="120" w:line="360" w:lineRule="auto"/>
              <w:rPr>
                <w:rFonts w:ascii="Arial" w:eastAsia="Arial" w:hAnsi="Arial" w:cs="Arial"/>
                <w:color w:val="010000"/>
                <w:sz w:val="20"/>
                <w:szCs w:val="20"/>
              </w:rPr>
            </w:pPr>
          </w:p>
        </w:tc>
        <w:tc>
          <w:tcPr>
            <w:tcW w:w="1250"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5CE1F0B5" w14:textId="6CF1D44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Results</w:t>
            </w:r>
          </w:p>
        </w:tc>
        <w:tc>
          <w:tcPr>
            <w:tcW w:w="1275"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62DC33C8" w14:textId="44780FE5"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Increase/decrease compared to that of 2022</w:t>
            </w:r>
            <w:r w:rsidR="00D13EE2" w:rsidRPr="00E72B5C">
              <w:rPr>
                <w:rFonts w:ascii="Arial" w:hAnsi="Arial" w:cs="Arial"/>
                <w:color w:val="010000"/>
                <w:sz w:val="20"/>
              </w:rPr>
              <w:t xml:space="preserve"> (%)</w:t>
            </w:r>
          </w:p>
        </w:tc>
      </w:tr>
      <w:tr w:rsidR="002F2C1A" w:rsidRPr="00E72B5C" w14:paraId="541F8CF7" w14:textId="77777777" w:rsidTr="00E72B5C">
        <w:tc>
          <w:tcPr>
            <w:tcW w:w="1225"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1536AE5A"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Net revenue</w:t>
            </w:r>
          </w:p>
        </w:tc>
        <w:tc>
          <w:tcPr>
            <w:tcW w:w="1250"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6DCB6725"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166.860</w:t>
            </w:r>
          </w:p>
        </w:tc>
        <w:tc>
          <w:tcPr>
            <w:tcW w:w="1250"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2F40D5FA"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438.447</w:t>
            </w:r>
          </w:p>
        </w:tc>
        <w:tc>
          <w:tcPr>
            <w:tcW w:w="1275"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655DA213"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163%</w:t>
            </w:r>
          </w:p>
        </w:tc>
      </w:tr>
      <w:tr w:rsidR="002F2C1A" w:rsidRPr="00E72B5C" w14:paraId="2A4391A0" w14:textId="77777777" w:rsidTr="00E72B5C">
        <w:tc>
          <w:tcPr>
            <w:tcW w:w="1225"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596FC64E"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Operating expenses</w:t>
            </w:r>
          </w:p>
        </w:tc>
        <w:tc>
          <w:tcPr>
            <w:tcW w:w="1250"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301791BA"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50.683</w:t>
            </w:r>
          </w:p>
        </w:tc>
        <w:tc>
          <w:tcPr>
            <w:tcW w:w="1250"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133E5BEC"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151.347</w:t>
            </w:r>
          </w:p>
        </w:tc>
        <w:tc>
          <w:tcPr>
            <w:tcW w:w="1275"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5A592DEC"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199%</w:t>
            </w:r>
          </w:p>
        </w:tc>
      </w:tr>
      <w:tr w:rsidR="002F2C1A" w:rsidRPr="00E72B5C" w14:paraId="16DCD3AE" w14:textId="77777777" w:rsidTr="00E72B5C">
        <w:tc>
          <w:tcPr>
            <w:tcW w:w="1225"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7D366743"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Profit before tax</w:t>
            </w:r>
          </w:p>
        </w:tc>
        <w:tc>
          <w:tcPr>
            <w:tcW w:w="1250"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2B2461C3"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42.396</w:t>
            </w:r>
          </w:p>
        </w:tc>
        <w:tc>
          <w:tcPr>
            <w:tcW w:w="1250"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2DC74963"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150.166</w:t>
            </w:r>
          </w:p>
        </w:tc>
        <w:tc>
          <w:tcPr>
            <w:tcW w:w="1275"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515722BF"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254%</w:t>
            </w:r>
          </w:p>
        </w:tc>
      </w:tr>
      <w:tr w:rsidR="002F2C1A" w:rsidRPr="00E72B5C" w14:paraId="30BBAB24" w14:textId="77777777" w:rsidTr="00E72B5C">
        <w:tc>
          <w:tcPr>
            <w:tcW w:w="1225"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30B168F8"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Corporate income tax</w:t>
            </w:r>
          </w:p>
        </w:tc>
        <w:tc>
          <w:tcPr>
            <w:tcW w:w="1250"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2114B2C2"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8.949</w:t>
            </w:r>
          </w:p>
        </w:tc>
        <w:tc>
          <w:tcPr>
            <w:tcW w:w="1250"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321A8CF3"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30.249</w:t>
            </w:r>
          </w:p>
        </w:tc>
        <w:tc>
          <w:tcPr>
            <w:tcW w:w="1275"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3F9E2344"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238%</w:t>
            </w:r>
          </w:p>
        </w:tc>
      </w:tr>
      <w:tr w:rsidR="002F2C1A" w:rsidRPr="00E72B5C" w14:paraId="255A11AA" w14:textId="77777777" w:rsidTr="00E72B5C">
        <w:tc>
          <w:tcPr>
            <w:tcW w:w="1225" w:type="pc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2AA149D7"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Profit after tax</w:t>
            </w:r>
          </w:p>
        </w:tc>
        <w:tc>
          <w:tcPr>
            <w:tcW w:w="1250" w:type="pc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089A74B5"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33.447</w:t>
            </w:r>
          </w:p>
        </w:tc>
        <w:tc>
          <w:tcPr>
            <w:tcW w:w="1250" w:type="pc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287BEEB1"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119.917</w:t>
            </w:r>
          </w:p>
        </w:tc>
        <w:tc>
          <w:tcPr>
            <w:tcW w:w="1275" w:type="pc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3580B2D9" w14:textId="77777777" w:rsidR="002F2C1A" w:rsidRPr="00E72B5C" w:rsidRDefault="007D0767" w:rsidP="00E72B5C">
            <w:pPr>
              <w:tabs>
                <w:tab w:val="left" w:pos="432"/>
                <w:tab w:val="left" w:pos="720"/>
                <w:tab w:val="left" w:pos="10554"/>
              </w:tabs>
              <w:spacing w:after="120" w:line="360" w:lineRule="auto"/>
              <w:rPr>
                <w:rFonts w:ascii="Arial" w:eastAsia="Arial" w:hAnsi="Arial" w:cs="Arial"/>
                <w:color w:val="010000"/>
                <w:sz w:val="20"/>
                <w:szCs w:val="20"/>
              </w:rPr>
            </w:pPr>
            <w:r w:rsidRPr="00E72B5C">
              <w:rPr>
                <w:rFonts w:ascii="Arial" w:hAnsi="Arial" w:cs="Arial"/>
                <w:color w:val="010000"/>
                <w:sz w:val="20"/>
              </w:rPr>
              <w:t>259%</w:t>
            </w:r>
          </w:p>
        </w:tc>
      </w:tr>
    </w:tbl>
    <w:p w14:paraId="0B6470A4" w14:textId="77777777" w:rsidR="002F2C1A" w:rsidRPr="00E72B5C" w:rsidRDefault="007D0767" w:rsidP="00E72B5C">
      <w:pPr>
        <w:numPr>
          <w:ilvl w:val="0"/>
          <w:numId w:val="3"/>
        </w:numPr>
        <w:pBdr>
          <w:top w:val="nil"/>
          <w:left w:val="nil"/>
          <w:bottom w:val="nil"/>
          <w:right w:val="nil"/>
          <w:between w:val="nil"/>
        </w:pBdr>
        <w:tabs>
          <w:tab w:val="left" w:pos="432"/>
          <w:tab w:val="left" w:pos="720"/>
          <w:tab w:val="left" w:pos="9315"/>
        </w:tabs>
        <w:spacing w:after="120" w:line="360" w:lineRule="auto"/>
        <w:rPr>
          <w:rFonts w:ascii="Arial" w:eastAsia="Arial" w:hAnsi="Arial" w:cs="Arial"/>
          <w:color w:val="010000"/>
          <w:sz w:val="20"/>
          <w:szCs w:val="20"/>
        </w:rPr>
      </w:pPr>
      <w:r w:rsidRPr="00E72B5C">
        <w:rPr>
          <w:rFonts w:ascii="Arial" w:hAnsi="Arial" w:cs="Arial"/>
          <w:color w:val="010000"/>
          <w:sz w:val="20"/>
        </w:rPr>
        <w:t>Report on activities of the Supervisory Board;</w:t>
      </w:r>
    </w:p>
    <w:p w14:paraId="2741FACD" w14:textId="776E6EAD" w:rsidR="002F2C1A" w:rsidRPr="00E72B5C" w:rsidRDefault="007D0767" w:rsidP="00E72B5C">
      <w:pPr>
        <w:numPr>
          <w:ilvl w:val="0"/>
          <w:numId w:val="3"/>
        </w:numPr>
        <w:pBdr>
          <w:top w:val="nil"/>
          <w:left w:val="nil"/>
          <w:bottom w:val="nil"/>
          <w:right w:val="nil"/>
          <w:between w:val="nil"/>
        </w:pBdr>
        <w:tabs>
          <w:tab w:val="left" w:pos="432"/>
          <w:tab w:val="left" w:pos="720"/>
          <w:tab w:val="left" w:pos="9315"/>
        </w:tabs>
        <w:spacing w:after="120" w:line="360" w:lineRule="auto"/>
        <w:rPr>
          <w:rFonts w:ascii="Arial" w:eastAsia="Arial" w:hAnsi="Arial" w:cs="Arial"/>
          <w:color w:val="010000"/>
          <w:sz w:val="20"/>
          <w:szCs w:val="20"/>
        </w:rPr>
      </w:pPr>
      <w:r w:rsidRPr="00E72B5C">
        <w:rPr>
          <w:rFonts w:ascii="Arial" w:hAnsi="Arial" w:cs="Arial"/>
          <w:color w:val="010000"/>
          <w:sz w:val="20"/>
        </w:rPr>
        <w:t>Report on activi</w:t>
      </w:r>
      <w:r w:rsidR="00212A86">
        <w:rPr>
          <w:rFonts w:ascii="Arial" w:hAnsi="Arial" w:cs="Arial"/>
          <w:color w:val="010000"/>
          <w:sz w:val="20"/>
        </w:rPr>
        <w:t>ties of the Board of Management:</w:t>
      </w:r>
      <w:bookmarkStart w:id="0" w:name="_GoBack"/>
      <w:bookmarkEnd w:id="0"/>
    </w:p>
    <w:p w14:paraId="3792FF10" w14:textId="2606F7CB" w:rsidR="00E72B5C" w:rsidRPr="00E72B5C" w:rsidRDefault="00E72B5C" w:rsidP="00E72B5C">
      <w:pPr>
        <w:pStyle w:val="ListParagraph"/>
        <w:widowControl/>
        <w:spacing w:after="120" w:line="360" w:lineRule="auto"/>
        <w:ind w:left="0"/>
        <w:contextualSpacing w:val="0"/>
        <w:rPr>
          <w:rFonts w:ascii="Arial" w:eastAsia="Times New Roman" w:hAnsi="Arial" w:cs="Arial"/>
          <w:color w:val="auto"/>
          <w:sz w:val="20"/>
          <w:lang w:val="vi-VN" w:eastAsia="en-US"/>
        </w:rPr>
      </w:pPr>
      <w:r w:rsidRPr="00E72B5C">
        <w:rPr>
          <w:rFonts w:ascii="Arial" w:eastAsia="Times New Roman" w:hAnsi="Arial" w:cs="Arial"/>
          <w:color w:val="auto"/>
          <w:sz w:val="20"/>
          <w:lang w:val="vi-VN" w:eastAsia="en-US"/>
        </w:rPr>
        <w:t>Business results compared to</w:t>
      </w:r>
      <w:r>
        <w:rPr>
          <w:rFonts w:ascii="Arial" w:eastAsia="Times New Roman" w:hAnsi="Arial" w:cs="Arial"/>
          <w:color w:val="auto"/>
          <w:sz w:val="20"/>
          <w:lang w:eastAsia="en-US"/>
        </w:rPr>
        <w:t xml:space="preserve"> that of</w:t>
      </w:r>
      <w:r w:rsidRPr="00E72B5C">
        <w:rPr>
          <w:rFonts w:ascii="Arial" w:eastAsia="Times New Roman" w:hAnsi="Arial" w:cs="Arial"/>
          <w:color w:val="auto"/>
          <w:sz w:val="20"/>
          <w:lang w:val="vi-VN" w:eastAsia="en-US"/>
        </w:rPr>
        <w:t xml:space="preserve"> the previous year</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38"/>
        <w:gridCol w:w="1351"/>
        <w:gridCol w:w="1000"/>
        <w:gridCol w:w="950"/>
        <w:gridCol w:w="1089"/>
      </w:tblGrid>
      <w:tr w:rsidR="00E72B5C" w:rsidRPr="00E72B5C" w14:paraId="08D09BE2" w14:textId="77777777" w:rsidTr="00EB46EE">
        <w:tc>
          <w:tcPr>
            <w:tcW w:w="2569" w:type="pct"/>
            <w:shd w:val="clear" w:color="auto" w:fill="auto"/>
            <w:vAlign w:val="center"/>
          </w:tcPr>
          <w:p w14:paraId="1D4FEA72" w14:textId="686E4CEC" w:rsidR="00E72B5C" w:rsidRPr="00E72B5C" w:rsidRDefault="00E72B5C" w:rsidP="00E72B5C">
            <w:pPr>
              <w:widowControl/>
              <w:spacing w:after="120" w:line="360" w:lineRule="auto"/>
              <w:rPr>
                <w:rFonts w:ascii="Arial" w:eastAsia="Times New Roman" w:hAnsi="Arial" w:cs="Arial"/>
                <w:color w:val="auto"/>
                <w:sz w:val="20"/>
                <w:lang w:eastAsia="en-US"/>
              </w:rPr>
            </w:pPr>
            <w:r>
              <w:rPr>
                <w:rFonts w:ascii="Arial" w:eastAsia="Times New Roman" w:hAnsi="Arial" w:cs="Arial"/>
                <w:sz w:val="20"/>
                <w:lang w:eastAsia="vi-VN"/>
              </w:rPr>
              <w:t>Target</w:t>
            </w:r>
          </w:p>
        </w:tc>
        <w:tc>
          <w:tcPr>
            <w:tcW w:w="748" w:type="pct"/>
            <w:shd w:val="clear" w:color="auto" w:fill="auto"/>
            <w:vAlign w:val="center"/>
          </w:tcPr>
          <w:p w14:paraId="1DE1E4E4" w14:textId="31CAE080" w:rsidR="00E72B5C" w:rsidRPr="00E72B5C" w:rsidRDefault="00E72B5C" w:rsidP="00E72B5C">
            <w:pPr>
              <w:widowControl/>
              <w:spacing w:after="120" w:line="360" w:lineRule="auto"/>
              <w:rPr>
                <w:rFonts w:ascii="Arial" w:eastAsia="Times New Roman" w:hAnsi="Arial" w:cs="Arial"/>
                <w:color w:val="auto"/>
                <w:sz w:val="20"/>
                <w:lang w:eastAsia="en-US"/>
              </w:rPr>
            </w:pPr>
            <w:r>
              <w:rPr>
                <w:rFonts w:ascii="Arial" w:eastAsia="Times New Roman" w:hAnsi="Arial" w:cs="Arial"/>
                <w:sz w:val="20"/>
                <w:lang w:eastAsia="vi-VN"/>
              </w:rPr>
              <w:t>Unit</w:t>
            </w:r>
          </w:p>
        </w:tc>
        <w:tc>
          <w:tcPr>
            <w:tcW w:w="554" w:type="pct"/>
            <w:shd w:val="clear" w:color="auto" w:fill="auto"/>
            <w:vAlign w:val="center"/>
          </w:tcPr>
          <w:p w14:paraId="7E16D19F" w14:textId="7777777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2023</w:t>
            </w:r>
          </w:p>
        </w:tc>
        <w:tc>
          <w:tcPr>
            <w:tcW w:w="526" w:type="pct"/>
            <w:shd w:val="clear" w:color="auto" w:fill="auto"/>
            <w:vAlign w:val="center"/>
          </w:tcPr>
          <w:p w14:paraId="4C74B5F3" w14:textId="7777777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2022</w:t>
            </w:r>
          </w:p>
        </w:tc>
        <w:tc>
          <w:tcPr>
            <w:tcW w:w="603" w:type="pct"/>
            <w:shd w:val="clear" w:color="auto" w:fill="auto"/>
            <w:vAlign w:val="center"/>
          </w:tcPr>
          <w:p w14:paraId="3475086A" w14:textId="604B6E0C" w:rsidR="00E72B5C" w:rsidRPr="00E72B5C" w:rsidRDefault="00E72B5C" w:rsidP="00E72B5C">
            <w:pPr>
              <w:widowControl/>
              <w:spacing w:after="120" w:line="360" w:lineRule="auto"/>
              <w:rPr>
                <w:rFonts w:ascii="Arial" w:eastAsia="Times New Roman" w:hAnsi="Arial" w:cs="Arial"/>
                <w:color w:val="auto"/>
                <w:sz w:val="20"/>
                <w:lang w:eastAsia="en-US"/>
              </w:rPr>
            </w:pPr>
            <w:r>
              <w:rPr>
                <w:rFonts w:ascii="Arial" w:eastAsia="Times New Roman" w:hAnsi="Arial" w:cs="Arial"/>
                <w:sz w:val="20"/>
                <w:lang w:eastAsia="vi-VN"/>
              </w:rPr>
              <w:t xml:space="preserve">Change </w:t>
            </w:r>
          </w:p>
        </w:tc>
      </w:tr>
      <w:tr w:rsidR="00E72B5C" w:rsidRPr="00E72B5C" w14:paraId="7615FD5F" w14:textId="77777777" w:rsidTr="00EB46EE">
        <w:tc>
          <w:tcPr>
            <w:tcW w:w="2569" w:type="pct"/>
            <w:shd w:val="clear" w:color="auto" w:fill="auto"/>
            <w:vAlign w:val="center"/>
          </w:tcPr>
          <w:p w14:paraId="45F8EA9E" w14:textId="02F66FDB"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Operating revenue</w:t>
            </w:r>
          </w:p>
        </w:tc>
        <w:tc>
          <w:tcPr>
            <w:tcW w:w="748" w:type="pct"/>
            <w:shd w:val="clear" w:color="auto" w:fill="auto"/>
            <w:vAlign w:val="center"/>
          </w:tcPr>
          <w:p w14:paraId="794D8E1B" w14:textId="54ECF683" w:rsidR="00E72B5C" w:rsidRPr="00E72B5C" w:rsidRDefault="00E72B5C" w:rsidP="00E72B5C">
            <w:pPr>
              <w:widowControl/>
              <w:spacing w:after="120" w:line="360" w:lineRule="auto"/>
              <w:rPr>
                <w:rFonts w:ascii="Arial" w:eastAsia="Times New Roman" w:hAnsi="Arial" w:cs="Arial"/>
                <w:color w:val="auto"/>
                <w:sz w:val="20"/>
                <w:lang w:eastAsia="en-US"/>
              </w:rPr>
            </w:pPr>
            <w:r>
              <w:rPr>
                <w:rFonts w:ascii="Arial" w:eastAsia="Times New Roman" w:hAnsi="Arial" w:cs="Arial"/>
                <w:sz w:val="20"/>
                <w:lang w:eastAsia="vi-VN"/>
              </w:rPr>
              <w:t>Million VND</w:t>
            </w:r>
          </w:p>
        </w:tc>
        <w:tc>
          <w:tcPr>
            <w:tcW w:w="554" w:type="pct"/>
            <w:shd w:val="clear" w:color="auto" w:fill="auto"/>
            <w:vAlign w:val="center"/>
          </w:tcPr>
          <w:p w14:paraId="2F51926D" w14:textId="651A4006" w:rsidR="00E72B5C" w:rsidRPr="00E72B5C" w:rsidRDefault="00E72B5C"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438,</w:t>
            </w:r>
            <w:r w:rsidRPr="00E72B5C">
              <w:rPr>
                <w:rFonts w:ascii="Arial" w:eastAsia="Times New Roman" w:hAnsi="Arial" w:cs="Arial"/>
                <w:sz w:val="20"/>
                <w:lang w:val="vi-VN" w:eastAsia="vi-VN"/>
              </w:rPr>
              <w:t>447</w:t>
            </w:r>
          </w:p>
        </w:tc>
        <w:tc>
          <w:tcPr>
            <w:tcW w:w="526" w:type="pct"/>
            <w:shd w:val="clear" w:color="auto" w:fill="auto"/>
            <w:vAlign w:val="center"/>
          </w:tcPr>
          <w:p w14:paraId="676B39BC" w14:textId="7B0F6B91" w:rsidR="00E72B5C" w:rsidRPr="00E72B5C" w:rsidRDefault="00E72B5C"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166,</w:t>
            </w:r>
            <w:r w:rsidRPr="00E72B5C">
              <w:rPr>
                <w:rFonts w:ascii="Arial" w:eastAsia="Times New Roman" w:hAnsi="Arial" w:cs="Arial"/>
                <w:sz w:val="20"/>
                <w:lang w:val="vi-VN" w:eastAsia="vi-VN"/>
              </w:rPr>
              <w:t>860</w:t>
            </w:r>
          </w:p>
        </w:tc>
        <w:tc>
          <w:tcPr>
            <w:tcW w:w="603" w:type="pct"/>
            <w:shd w:val="clear" w:color="auto" w:fill="auto"/>
            <w:vAlign w:val="center"/>
          </w:tcPr>
          <w:p w14:paraId="1792CED8" w14:textId="7777777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163%</w:t>
            </w:r>
          </w:p>
        </w:tc>
      </w:tr>
      <w:tr w:rsidR="00E72B5C" w:rsidRPr="00E72B5C" w14:paraId="337DA09D" w14:textId="77777777" w:rsidTr="00E72B5C">
        <w:tc>
          <w:tcPr>
            <w:tcW w:w="5000" w:type="pct"/>
            <w:gridSpan w:val="5"/>
            <w:shd w:val="clear" w:color="auto" w:fill="auto"/>
            <w:vAlign w:val="center"/>
          </w:tcPr>
          <w:p w14:paraId="44A61B99" w14:textId="10D4B57D" w:rsidR="00E72B5C" w:rsidRPr="00E72B5C" w:rsidRDefault="00E72B5C" w:rsidP="00E72B5C">
            <w:pPr>
              <w:widowControl/>
              <w:spacing w:after="120" w:line="360" w:lineRule="auto"/>
              <w:rPr>
                <w:rFonts w:ascii="Arial" w:eastAsia="Times New Roman" w:hAnsi="Arial" w:cs="Arial"/>
                <w:color w:val="auto"/>
                <w:sz w:val="20"/>
                <w:lang w:eastAsia="en-US"/>
              </w:rPr>
            </w:pPr>
            <w:r>
              <w:rPr>
                <w:rFonts w:ascii="Arial" w:eastAsia="Times New Roman" w:hAnsi="Arial" w:cs="Arial"/>
                <w:sz w:val="20"/>
                <w:lang w:eastAsia="vi-VN"/>
              </w:rPr>
              <w:t>In which:</w:t>
            </w:r>
          </w:p>
        </w:tc>
      </w:tr>
      <w:tr w:rsidR="00E72B5C" w:rsidRPr="00E72B5C" w14:paraId="59BCDE00" w14:textId="77777777" w:rsidTr="00EB46EE">
        <w:tc>
          <w:tcPr>
            <w:tcW w:w="2569" w:type="pct"/>
            <w:shd w:val="clear" w:color="auto" w:fill="auto"/>
            <w:vAlign w:val="center"/>
          </w:tcPr>
          <w:p w14:paraId="75876D51" w14:textId="169FDE29"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 xml:space="preserve">Fair </w:t>
            </w:r>
            <w:r w:rsidR="00D86363" w:rsidRPr="00E72B5C">
              <w:rPr>
                <w:rFonts w:ascii="Arial" w:eastAsia="Times New Roman" w:hAnsi="Arial" w:cs="Arial"/>
                <w:sz w:val="20"/>
                <w:lang w:val="vi-VN" w:eastAsia="vi-VN"/>
              </w:rPr>
              <w:t>value through profit and loss</w:t>
            </w:r>
            <w:r w:rsidRPr="00E72B5C">
              <w:rPr>
                <w:rFonts w:ascii="Arial" w:eastAsia="Times New Roman" w:hAnsi="Arial" w:cs="Arial"/>
                <w:sz w:val="20"/>
                <w:lang w:val="vi-VN" w:eastAsia="vi-VN"/>
              </w:rPr>
              <w:t xml:space="preserve"> (FVTPL)</w:t>
            </w:r>
          </w:p>
        </w:tc>
        <w:tc>
          <w:tcPr>
            <w:tcW w:w="748" w:type="pct"/>
            <w:shd w:val="clear" w:color="auto" w:fill="auto"/>
            <w:vAlign w:val="center"/>
          </w:tcPr>
          <w:p w14:paraId="6779A4CC" w14:textId="74BE23E1" w:rsidR="00E72B5C" w:rsidRPr="00E72B5C" w:rsidRDefault="00E72B5C"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40B4275C" w14:textId="0581F269" w:rsidR="00E72B5C" w:rsidRPr="00E72B5C" w:rsidRDefault="00E72B5C"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148,</w:t>
            </w:r>
            <w:r w:rsidRPr="00E72B5C">
              <w:rPr>
                <w:rFonts w:ascii="Arial" w:eastAsia="Times New Roman" w:hAnsi="Arial" w:cs="Arial"/>
                <w:sz w:val="20"/>
                <w:lang w:val="vi-VN" w:eastAsia="vi-VN"/>
              </w:rPr>
              <w:t>026</w:t>
            </w:r>
          </w:p>
        </w:tc>
        <w:tc>
          <w:tcPr>
            <w:tcW w:w="526" w:type="pct"/>
            <w:shd w:val="clear" w:color="auto" w:fill="auto"/>
            <w:vAlign w:val="center"/>
          </w:tcPr>
          <w:p w14:paraId="5A56DAEC" w14:textId="163167A9" w:rsidR="00E72B5C" w:rsidRPr="00E72B5C" w:rsidRDefault="00E72B5C"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45,</w:t>
            </w:r>
            <w:r w:rsidRPr="00E72B5C">
              <w:rPr>
                <w:rFonts w:ascii="Arial" w:eastAsia="Times New Roman" w:hAnsi="Arial" w:cs="Arial"/>
                <w:sz w:val="20"/>
                <w:lang w:val="vi-VN" w:eastAsia="vi-VN"/>
              </w:rPr>
              <w:t>354</w:t>
            </w:r>
          </w:p>
        </w:tc>
        <w:tc>
          <w:tcPr>
            <w:tcW w:w="603" w:type="pct"/>
            <w:shd w:val="clear" w:color="auto" w:fill="auto"/>
            <w:vAlign w:val="center"/>
          </w:tcPr>
          <w:p w14:paraId="51197C28" w14:textId="7777777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226%</w:t>
            </w:r>
          </w:p>
        </w:tc>
      </w:tr>
      <w:tr w:rsidR="00E72B5C" w:rsidRPr="00E72B5C" w14:paraId="6449B864" w14:textId="77777777" w:rsidTr="00EB46EE">
        <w:tc>
          <w:tcPr>
            <w:tcW w:w="2569" w:type="pct"/>
            <w:shd w:val="clear" w:color="auto" w:fill="auto"/>
            <w:vAlign w:val="center"/>
          </w:tcPr>
          <w:p w14:paraId="3D9D8D2D" w14:textId="6D756D49" w:rsidR="00E72B5C" w:rsidRPr="00E72B5C" w:rsidRDefault="00EB46EE" w:rsidP="00EB46EE">
            <w:pPr>
              <w:widowControl/>
              <w:spacing w:after="120" w:line="360" w:lineRule="auto"/>
              <w:rPr>
                <w:rFonts w:ascii="Arial" w:eastAsia="Times New Roman" w:hAnsi="Arial" w:cs="Arial"/>
                <w:color w:val="auto"/>
                <w:sz w:val="20"/>
                <w:lang w:eastAsia="en-US"/>
              </w:rPr>
            </w:pPr>
            <w:r>
              <w:rPr>
                <w:rFonts w:ascii="Arial" w:eastAsia="Times New Roman" w:hAnsi="Arial" w:cs="Arial"/>
                <w:sz w:val="20"/>
                <w:lang w:eastAsia="vi-VN"/>
              </w:rPr>
              <w:t>Profit from h</w:t>
            </w:r>
            <w:r w:rsidR="00E72B5C">
              <w:rPr>
                <w:rFonts w:ascii="Arial" w:eastAsia="Times New Roman" w:hAnsi="Arial" w:cs="Arial"/>
                <w:sz w:val="20"/>
                <w:lang w:val="vi-VN" w:eastAsia="vi-VN"/>
              </w:rPr>
              <w:t>eld-to-maturity</w:t>
            </w:r>
            <w:r w:rsidR="00E72B5C">
              <w:rPr>
                <w:rFonts w:ascii="Arial" w:eastAsia="Times New Roman" w:hAnsi="Arial" w:cs="Arial"/>
                <w:sz w:val="20"/>
                <w:lang w:eastAsia="vi-VN"/>
              </w:rPr>
              <w:t xml:space="preserve"> investment</w:t>
            </w:r>
            <w:r w:rsidR="00E72B5C">
              <w:rPr>
                <w:rFonts w:ascii="Arial" w:eastAsia="Times New Roman" w:hAnsi="Arial" w:cs="Arial"/>
                <w:sz w:val="20"/>
                <w:lang w:val="vi-VN" w:eastAsia="vi-VN"/>
              </w:rPr>
              <w:t xml:space="preserve"> </w:t>
            </w:r>
            <w:r w:rsidR="00E72B5C">
              <w:rPr>
                <w:rFonts w:ascii="Arial" w:eastAsia="Times New Roman" w:hAnsi="Arial" w:cs="Arial"/>
                <w:sz w:val="20"/>
                <w:lang w:eastAsia="vi-VN"/>
              </w:rPr>
              <w:t>(HTM)</w:t>
            </w:r>
          </w:p>
        </w:tc>
        <w:tc>
          <w:tcPr>
            <w:tcW w:w="748" w:type="pct"/>
            <w:shd w:val="clear" w:color="auto" w:fill="auto"/>
            <w:vAlign w:val="center"/>
          </w:tcPr>
          <w:p w14:paraId="603DD5C1" w14:textId="0D26CB53" w:rsidR="00E72B5C" w:rsidRPr="00E72B5C" w:rsidRDefault="00E72B5C"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3F3E4839" w14:textId="52943AD8" w:rsidR="00E72B5C" w:rsidRPr="00E72B5C" w:rsidRDefault="00E72B5C"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17,</w:t>
            </w:r>
            <w:r w:rsidRPr="00E72B5C">
              <w:rPr>
                <w:rFonts w:ascii="Arial" w:eastAsia="Times New Roman" w:hAnsi="Arial" w:cs="Arial"/>
                <w:sz w:val="20"/>
                <w:lang w:val="vi-VN" w:eastAsia="vi-VN"/>
              </w:rPr>
              <w:t>907</w:t>
            </w:r>
          </w:p>
        </w:tc>
        <w:tc>
          <w:tcPr>
            <w:tcW w:w="526" w:type="pct"/>
            <w:shd w:val="clear" w:color="auto" w:fill="auto"/>
            <w:vAlign w:val="center"/>
          </w:tcPr>
          <w:p w14:paraId="536576E4" w14:textId="2D6FEC3C" w:rsidR="00E72B5C" w:rsidRPr="00E72B5C" w:rsidRDefault="00E72B5C"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46,</w:t>
            </w:r>
            <w:r w:rsidRPr="00E72B5C">
              <w:rPr>
                <w:rFonts w:ascii="Arial" w:eastAsia="Times New Roman" w:hAnsi="Arial" w:cs="Arial"/>
                <w:sz w:val="20"/>
                <w:lang w:val="vi-VN" w:eastAsia="vi-VN"/>
              </w:rPr>
              <w:t>937</w:t>
            </w:r>
          </w:p>
        </w:tc>
        <w:tc>
          <w:tcPr>
            <w:tcW w:w="603" w:type="pct"/>
            <w:shd w:val="clear" w:color="auto" w:fill="auto"/>
            <w:vAlign w:val="center"/>
          </w:tcPr>
          <w:p w14:paraId="768EEDE7" w14:textId="7777777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-62%</w:t>
            </w:r>
          </w:p>
        </w:tc>
      </w:tr>
      <w:tr w:rsidR="00E72B5C" w:rsidRPr="00E72B5C" w14:paraId="65E93D1E" w14:textId="77777777" w:rsidTr="00EB46EE">
        <w:tc>
          <w:tcPr>
            <w:tcW w:w="2569" w:type="pct"/>
            <w:shd w:val="clear" w:color="auto" w:fill="auto"/>
            <w:vAlign w:val="center"/>
          </w:tcPr>
          <w:p w14:paraId="7B33CFBB" w14:textId="1E0E5205" w:rsidR="00E72B5C" w:rsidRPr="00E72B5C" w:rsidRDefault="00212A86" w:rsidP="00E72B5C">
            <w:pPr>
              <w:widowControl/>
              <w:spacing w:after="120" w:line="360" w:lineRule="auto"/>
              <w:rPr>
                <w:rFonts w:ascii="Arial" w:eastAsia="Times New Roman" w:hAnsi="Arial" w:cs="Arial"/>
                <w:color w:val="auto"/>
                <w:sz w:val="20"/>
                <w:lang w:eastAsia="en-US"/>
              </w:rPr>
            </w:pPr>
            <w:r>
              <w:rPr>
                <w:rFonts w:ascii="Arial" w:eastAsia="Times New Roman" w:hAnsi="Arial" w:cs="Arial"/>
                <w:sz w:val="20"/>
                <w:lang w:eastAsia="vi-VN"/>
              </w:rPr>
              <w:t>Profit from loans and rec</w:t>
            </w:r>
            <w:r w:rsidR="00EB46EE">
              <w:rPr>
                <w:rFonts w:ascii="Arial" w:eastAsia="Times New Roman" w:hAnsi="Arial" w:cs="Arial"/>
                <w:sz w:val="20"/>
                <w:lang w:eastAsia="vi-VN"/>
              </w:rPr>
              <w:t>eivables</w:t>
            </w:r>
          </w:p>
        </w:tc>
        <w:tc>
          <w:tcPr>
            <w:tcW w:w="748" w:type="pct"/>
            <w:shd w:val="clear" w:color="auto" w:fill="auto"/>
            <w:vAlign w:val="center"/>
          </w:tcPr>
          <w:p w14:paraId="0DB53F5C" w14:textId="195FFC96" w:rsidR="00E72B5C" w:rsidRPr="00E72B5C" w:rsidRDefault="00E72B5C"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7D4C5ACD" w14:textId="0BCD6F73" w:rsidR="00E72B5C" w:rsidRPr="00E72B5C" w:rsidRDefault="00E72B5C"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135,</w:t>
            </w:r>
            <w:r w:rsidRPr="00E72B5C">
              <w:rPr>
                <w:rFonts w:ascii="Arial" w:eastAsia="Times New Roman" w:hAnsi="Arial" w:cs="Arial"/>
                <w:sz w:val="20"/>
                <w:lang w:val="vi-VN" w:eastAsia="vi-VN"/>
              </w:rPr>
              <w:t>357</w:t>
            </w:r>
          </w:p>
        </w:tc>
        <w:tc>
          <w:tcPr>
            <w:tcW w:w="526" w:type="pct"/>
            <w:shd w:val="clear" w:color="auto" w:fill="auto"/>
            <w:vAlign w:val="center"/>
          </w:tcPr>
          <w:p w14:paraId="75445505" w14:textId="2856164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47</w:t>
            </w:r>
            <w:r>
              <w:rPr>
                <w:rFonts w:ascii="Arial" w:eastAsia="Times New Roman" w:hAnsi="Arial" w:cs="Arial"/>
                <w:sz w:val="20"/>
                <w:lang w:eastAsia="vi-VN"/>
              </w:rPr>
              <w:t>,</w:t>
            </w:r>
            <w:r w:rsidRPr="00E72B5C">
              <w:rPr>
                <w:rFonts w:ascii="Arial" w:eastAsia="Times New Roman" w:hAnsi="Arial" w:cs="Arial"/>
                <w:sz w:val="20"/>
                <w:lang w:val="vi-VN" w:eastAsia="vi-VN"/>
              </w:rPr>
              <w:t>640</w:t>
            </w:r>
          </w:p>
        </w:tc>
        <w:tc>
          <w:tcPr>
            <w:tcW w:w="603" w:type="pct"/>
            <w:shd w:val="clear" w:color="auto" w:fill="auto"/>
            <w:vAlign w:val="center"/>
          </w:tcPr>
          <w:p w14:paraId="597E860B" w14:textId="7777777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184%</w:t>
            </w:r>
          </w:p>
        </w:tc>
      </w:tr>
      <w:tr w:rsidR="00E72B5C" w:rsidRPr="00E72B5C" w14:paraId="01906187" w14:textId="77777777" w:rsidTr="00EB46EE">
        <w:tc>
          <w:tcPr>
            <w:tcW w:w="2569" w:type="pct"/>
            <w:shd w:val="clear" w:color="auto" w:fill="auto"/>
            <w:vAlign w:val="center"/>
          </w:tcPr>
          <w:p w14:paraId="3FDAA208" w14:textId="4B9ADC76" w:rsidR="00E72B5C" w:rsidRPr="00E72B5C" w:rsidRDefault="00EB46EE"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 xml:space="preserve">Profit from </w:t>
            </w:r>
            <w:r w:rsidR="00D86363" w:rsidRPr="00EB46EE">
              <w:rPr>
                <w:rFonts w:ascii="Arial" w:eastAsia="Times New Roman" w:hAnsi="Arial" w:cs="Arial"/>
                <w:sz w:val="20"/>
                <w:lang w:eastAsia="vi-VN"/>
              </w:rPr>
              <w:t>available for sale</w:t>
            </w:r>
            <w:r w:rsidRPr="00EB46EE">
              <w:rPr>
                <w:rFonts w:ascii="Arial" w:eastAsia="Times New Roman" w:hAnsi="Arial" w:cs="Arial"/>
                <w:sz w:val="20"/>
                <w:lang w:eastAsia="vi-VN"/>
              </w:rPr>
              <w:t xml:space="preserve"> </w:t>
            </w:r>
            <w:r w:rsidR="00E72B5C" w:rsidRPr="00E72B5C">
              <w:rPr>
                <w:rFonts w:ascii="Arial" w:eastAsia="Times New Roman" w:hAnsi="Arial" w:cs="Arial"/>
                <w:sz w:val="20"/>
                <w:lang w:val="vi-VN" w:eastAsia="vi-VN"/>
              </w:rPr>
              <w:t>(AFS)</w:t>
            </w:r>
          </w:p>
        </w:tc>
        <w:tc>
          <w:tcPr>
            <w:tcW w:w="748" w:type="pct"/>
            <w:shd w:val="clear" w:color="auto" w:fill="auto"/>
            <w:vAlign w:val="center"/>
          </w:tcPr>
          <w:p w14:paraId="4186E998" w14:textId="00B0A6FF" w:rsidR="00E72B5C" w:rsidRPr="00E72B5C" w:rsidRDefault="00E72B5C"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6FBC3A24" w14:textId="7777777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0</w:t>
            </w:r>
          </w:p>
        </w:tc>
        <w:tc>
          <w:tcPr>
            <w:tcW w:w="526" w:type="pct"/>
            <w:shd w:val="clear" w:color="auto" w:fill="auto"/>
            <w:vAlign w:val="center"/>
          </w:tcPr>
          <w:p w14:paraId="230F73B0" w14:textId="7777777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0</w:t>
            </w:r>
          </w:p>
        </w:tc>
        <w:tc>
          <w:tcPr>
            <w:tcW w:w="603" w:type="pct"/>
            <w:shd w:val="clear" w:color="auto" w:fill="auto"/>
            <w:vAlign w:val="center"/>
          </w:tcPr>
          <w:p w14:paraId="22D5DD1D" w14:textId="7777777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w:t>
            </w:r>
          </w:p>
        </w:tc>
      </w:tr>
      <w:tr w:rsidR="00E72B5C" w:rsidRPr="00E72B5C" w14:paraId="2B59A665" w14:textId="77777777" w:rsidTr="00EB46EE">
        <w:tc>
          <w:tcPr>
            <w:tcW w:w="2569" w:type="pct"/>
            <w:shd w:val="clear" w:color="auto" w:fill="auto"/>
            <w:vAlign w:val="center"/>
          </w:tcPr>
          <w:p w14:paraId="1AFA302B" w14:textId="62C1D049" w:rsidR="00E72B5C" w:rsidRPr="00E72B5C" w:rsidRDefault="00EB46EE" w:rsidP="00E72B5C">
            <w:pPr>
              <w:widowControl/>
              <w:spacing w:after="120" w:line="360" w:lineRule="auto"/>
              <w:rPr>
                <w:rFonts w:ascii="Arial" w:eastAsia="Times New Roman" w:hAnsi="Arial" w:cs="Arial"/>
                <w:color w:val="auto"/>
                <w:sz w:val="20"/>
                <w:lang w:val="vi-VN" w:eastAsia="en-US"/>
              </w:rPr>
            </w:pPr>
            <w:r w:rsidRPr="00EB46EE">
              <w:rPr>
                <w:rFonts w:ascii="Arial" w:eastAsia="Times New Roman" w:hAnsi="Arial" w:cs="Arial"/>
                <w:sz w:val="20"/>
                <w:lang w:val="vi-VN" w:eastAsia="vi-VN"/>
              </w:rPr>
              <w:lastRenderedPageBreak/>
              <w:t>Revenue from securities brokerage operations</w:t>
            </w:r>
          </w:p>
        </w:tc>
        <w:tc>
          <w:tcPr>
            <w:tcW w:w="748" w:type="pct"/>
            <w:shd w:val="clear" w:color="auto" w:fill="auto"/>
            <w:vAlign w:val="center"/>
          </w:tcPr>
          <w:p w14:paraId="0B1696FA" w14:textId="5C38CEF0" w:rsidR="00E72B5C" w:rsidRPr="00E72B5C" w:rsidRDefault="00E72B5C"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7CAA9A05" w14:textId="360599B6" w:rsidR="00E72B5C" w:rsidRPr="00E72B5C" w:rsidRDefault="00EB46EE"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103,</w:t>
            </w:r>
            <w:r w:rsidR="00E72B5C" w:rsidRPr="00E72B5C">
              <w:rPr>
                <w:rFonts w:ascii="Arial" w:eastAsia="Times New Roman" w:hAnsi="Arial" w:cs="Arial"/>
                <w:sz w:val="20"/>
                <w:lang w:val="vi-VN" w:eastAsia="vi-VN"/>
              </w:rPr>
              <w:t>914</w:t>
            </w:r>
          </w:p>
        </w:tc>
        <w:tc>
          <w:tcPr>
            <w:tcW w:w="526" w:type="pct"/>
            <w:shd w:val="clear" w:color="auto" w:fill="auto"/>
            <w:vAlign w:val="center"/>
          </w:tcPr>
          <w:p w14:paraId="37E3A5EB" w14:textId="0AEFE2D2" w:rsidR="00E72B5C" w:rsidRPr="00E72B5C" w:rsidRDefault="00EB46EE"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25,</w:t>
            </w:r>
            <w:r w:rsidR="00E72B5C" w:rsidRPr="00E72B5C">
              <w:rPr>
                <w:rFonts w:ascii="Arial" w:eastAsia="Times New Roman" w:hAnsi="Arial" w:cs="Arial"/>
                <w:sz w:val="20"/>
                <w:lang w:val="vi-VN" w:eastAsia="vi-VN"/>
              </w:rPr>
              <w:t>931</w:t>
            </w:r>
          </w:p>
        </w:tc>
        <w:tc>
          <w:tcPr>
            <w:tcW w:w="603" w:type="pct"/>
            <w:shd w:val="clear" w:color="auto" w:fill="auto"/>
            <w:vAlign w:val="center"/>
          </w:tcPr>
          <w:p w14:paraId="3361006A" w14:textId="7777777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301%</w:t>
            </w:r>
          </w:p>
        </w:tc>
      </w:tr>
      <w:tr w:rsidR="00E72B5C" w:rsidRPr="00E72B5C" w14:paraId="38218F6C" w14:textId="77777777" w:rsidTr="00EB46EE">
        <w:tc>
          <w:tcPr>
            <w:tcW w:w="2569" w:type="pct"/>
            <w:shd w:val="clear" w:color="auto" w:fill="auto"/>
            <w:vAlign w:val="center"/>
          </w:tcPr>
          <w:p w14:paraId="295139E6" w14:textId="3A9CF1D1" w:rsidR="00E72B5C" w:rsidRPr="00E72B5C" w:rsidRDefault="00EB46EE" w:rsidP="00E72B5C">
            <w:pPr>
              <w:widowControl/>
              <w:spacing w:after="120" w:line="360" w:lineRule="auto"/>
              <w:rPr>
                <w:rFonts w:ascii="Arial" w:eastAsia="Times New Roman" w:hAnsi="Arial" w:cs="Arial"/>
                <w:color w:val="auto"/>
                <w:sz w:val="20"/>
                <w:lang w:val="vi-VN" w:eastAsia="en-US"/>
              </w:rPr>
            </w:pPr>
            <w:r w:rsidRPr="00EB46EE">
              <w:rPr>
                <w:rFonts w:ascii="Arial" w:eastAsia="Times New Roman" w:hAnsi="Arial" w:cs="Arial"/>
                <w:sz w:val="20"/>
                <w:lang w:val="vi-VN" w:eastAsia="vi-VN"/>
              </w:rPr>
              <w:t>Revenue from guarantee operations and securities issuance agents</w:t>
            </w:r>
          </w:p>
        </w:tc>
        <w:tc>
          <w:tcPr>
            <w:tcW w:w="748" w:type="pct"/>
            <w:shd w:val="clear" w:color="auto" w:fill="auto"/>
            <w:vAlign w:val="center"/>
          </w:tcPr>
          <w:p w14:paraId="2C26F1CA" w14:textId="471EE67D" w:rsidR="00E72B5C" w:rsidRPr="00E72B5C" w:rsidRDefault="00E72B5C"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6D16A5ED" w14:textId="7777777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0</w:t>
            </w:r>
          </w:p>
        </w:tc>
        <w:tc>
          <w:tcPr>
            <w:tcW w:w="526" w:type="pct"/>
            <w:shd w:val="clear" w:color="auto" w:fill="auto"/>
            <w:vAlign w:val="center"/>
          </w:tcPr>
          <w:p w14:paraId="18E8633F" w14:textId="7777777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100</w:t>
            </w:r>
          </w:p>
        </w:tc>
        <w:tc>
          <w:tcPr>
            <w:tcW w:w="603" w:type="pct"/>
            <w:shd w:val="clear" w:color="auto" w:fill="auto"/>
            <w:vAlign w:val="center"/>
          </w:tcPr>
          <w:p w14:paraId="26341BF7" w14:textId="7777777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w:t>
            </w:r>
          </w:p>
        </w:tc>
      </w:tr>
      <w:tr w:rsidR="00E72B5C" w:rsidRPr="00E72B5C" w14:paraId="7CA5867E" w14:textId="77777777" w:rsidTr="00EB46EE">
        <w:tc>
          <w:tcPr>
            <w:tcW w:w="2569" w:type="pct"/>
            <w:shd w:val="clear" w:color="auto" w:fill="auto"/>
            <w:vAlign w:val="center"/>
          </w:tcPr>
          <w:p w14:paraId="7A880104" w14:textId="42318C06" w:rsidR="00E72B5C" w:rsidRPr="00E72B5C" w:rsidRDefault="00EB46EE" w:rsidP="00E72B5C">
            <w:pPr>
              <w:widowControl/>
              <w:spacing w:after="120" w:line="360" w:lineRule="auto"/>
              <w:rPr>
                <w:rFonts w:ascii="Arial" w:eastAsia="Times New Roman" w:hAnsi="Arial" w:cs="Arial"/>
                <w:color w:val="auto"/>
                <w:sz w:val="20"/>
                <w:lang w:val="vi-VN" w:eastAsia="en-US"/>
              </w:rPr>
            </w:pPr>
            <w:r w:rsidRPr="00EB46EE">
              <w:rPr>
                <w:rFonts w:ascii="Arial" w:eastAsia="Times New Roman" w:hAnsi="Arial" w:cs="Arial"/>
                <w:sz w:val="20"/>
                <w:lang w:val="vi-VN" w:eastAsia="vi-VN"/>
              </w:rPr>
              <w:t>Revenue from securities investment consulting services</w:t>
            </w:r>
          </w:p>
        </w:tc>
        <w:tc>
          <w:tcPr>
            <w:tcW w:w="748" w:type="pct"/>
            <w:shd w:val="clear" w:color="auto" w:fill="auto"/>
            <w:vAlign w:val="center"/>
          </w:tcPr>
          <w:p w14:paraId="4E9BEE0A" w14:textId="68E60717" w:rsidR="00E72B5C" w:rsidRPr="00E72B5C" w:rsidRDefault="00E72B5C"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4F07CB93" w14:textId="638CCD9A" w:rsidR="00E72B5C" w:rsidRPr="00E72B5C" w:rsidRDefault="00EB46EE"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27,</w:t>
            </w:r>
            <w:r w:rsidR="00E72B5C" w:rsidRPr="00E72B5C">
              <w:rPr>
                <w:rFonts w:ascii="Arial" w:eastAsia="Times New Roman" w:hAnsi="Arial" w:cs="Arial"/>
                <w:sz w:val="20"/>
                <w:lang w:val="vi-VN" w:eastAsia="vi-VN"/>
              </w:rPr>
              <w:t>640</w:t>
            </w:r>
          </w:p>
        </w:tc>
        <w:tc>
          <w:tcPr>
            <w:tcW w:w="526" w:type="pct"/>
            <w:shd w:val="clear" w:color="auto" w:fill="auto"/>
            <w:vAlign w:val="center"/>
          </w:tcPr>
          <w:p w14:paraId="7919AD5A" w14:textId="7777777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0</w:t>
            </w:r>
          </w:p>
        </w:tc>
        <w:tc>
          <w:tcPr>
            <w:tcW w:w="603" w:type="pct"/>
            <w:shd w:val="clear" w:color="auto" w:fill="auto"/>
            <w:vAlign w:val="center"/>
          </w:tcPr>
          <w:p w14:paraId="691C4590" w14:textId="7BC3F6BC" w:rsidR="00E72B5C" w:rsidRPr="00E72B5C" w:rsidRDefault="00D86363"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w:t>
            </w:r>
          </w:p>
        </w:tc>
      </w:tr>
      <w:tr w:rsidR="00E72B5C" w:rsidRPr="00E72B5C" w14:paraId="13D2C223" w14:textId="77777777" w:rsidTr="00EB46EE">
        <w:tc>
          <w:tcPr>
            <w:tcW w:w="2569" w:type="pct"/>
            <w:shd w:val="clear" w:color="auto" w:fill="auto"/>
            <w:vAlign w:val="center"/>
          </w:tcPr>
          <w:p w14:paraId="7525802A" w14:textId="223D01FA" w:rsidR="00E72B5C" w:rsidRPr="00E72B5C" w:rsidRDefault="00EB46EE" w:rsidP="00E72B5C">
            <w:pPr>
              <w:widowControl/>
              <w:spacing w:after="120" w:line="360" w:lineRule="auto"/>
              <w:rPr>
                <w:rFonts w:ascii="Arial" w:eastAsia="Times New Roman" w:hAnsi="Arial" w:cs="Arial"/>
                <w:color w:val="auto"/>
                <w:sz w:val="20"/>
                <w:lang w:val="vi-VN" w:eastAsia="en-US"/>
              </w:rPr>
            </w:pPr>
            <w:r w:rsidRPr="00EB46EE">
              <w:rPr>
                <w:rFonts w:ascii="Arial" w:eastAsia="Times New Roman" w:hAnsi="Arial" w:cs="Arial"/>
                <w:sz w:val="20"/>
                <w:lang w:val="vi-VN" w:eastAsia="vi-VN"/>
              </w:rPr>
              <w:t>Revenue from securities depository operations</w:t>
            </w:r>
          </w:p>
        </w:tc>
        <w:tc>
          <w:tcPr>
            <w:tcW w:w="748" w:type="pct"/>
            <w:shd w:val="clear" w:color="auto" w:fill="auto"/>
            <w:vAlign w:val="center"/>
          </w:tcPr>
          <w:p w14:paraId="3AB2B6C8" w14:textId="462512C8" w:rsidR="00E72B5C" w:rsidRPr="00E72B5C" w:rsidRDefault="00E72B5C"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751AE34E" w14:textId="67B5F5E0" w:rsidR="00E72B5C" w:rsidRPr="00E72B5C" w:rsidRDefault="00EB46EE"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2,</w:t>
            </w:r>
            <w:r w:rsidR="00E72B5C" w:rsidRPr="00E72B5C">
              <w:rPr>
                <w:rFonts w:ascii="Arial" w:eastAsia="Times New Roman" w:hAnsi="Arial" w:cs="Arial"/>
                <w:sz w:val="20"/>
                <w:lang w:val="vi-VN" w:eastAsia="vi-VN"/>
              </w:rPr>
              <w:t>224</w:t>
            </w:r>
          </w:p>
        </w:tc>
        <w:tc>
          <w:tcPr>
            <w:tcW w:w="526" w:type="pct"/>
            <w:shd w:val="clear" w:color="auto" w:fill="auto"/>
            <w:vAlign w:val="center"/>
          </w:tcPr>
          <w:p w14:paraId="238F2092" w14:textId="7777777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796</w:t>
            </w:r>
          </w:p>
        </w:tc>
        <w:tc>
          <w:tcPr>
            <w:tcW w:w="603" w:type="pct"/>
            <w:shd w:val="clear" w:color="auto" w:fill="auto"/>
            <w:vAlign w:val="center"/>
          </w:tcPr>
          <w:p w14:paraId="44E156FB" w14:textId="7777777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179%</w:t>
            </w:r>
          </w:p>
        </w:tc>
      </w:tr>
      <w:tr w:rsidR="00E72B5C" w:rsidRPr="00E72B5C" w14:paraId="45C8F0DD" w14:textId="77777777" w:rsidTr="00EB46EE">
        <w:tc>
          <w:tcPr>
            <w:tcW w:w="2569" w:type="pct"/>
            <w:shd w:val="clear" w:color="auto" w:fill="auto"/>
            <w:vAlign w:val="center"/>
          </w:tcPr>
          <w:p w14:paraId="176E8239" w14:textId="59EDA593" w:rsidR="00E72B5C" w:rsidRPr="00E72B5C" w:rsidRDefault="00EB46EE" w:rsidP="00E72B5C">
            <w:pPr>
              <w:widowControl/>
              <w:spacing w:after="120" w:line="360" w:lineRule="auto"/>
              <w:rPr>
                <w:rFonts w:ascii="Arial" w:eastAsia="Times New Roman" w:hAnsi="Arial" w:cs="Arial"/>
                <w:color w:val="auto"/>
                <w:sz w:val="20"/>
                <w:lang w:val="vi-VN" w:eastAsia="en-US"/>
              </w:rPr>
            </w:pPr>
            <w:r w:rsidRPr="00EB46EE">
              <w:rPr>
                <w:rFonts w:ascii="Arial" w:eastAsia="Times New Roman" w:hAnsi="Arial" w:cs="Arial"/>
                <w:sz w:val="20"/>
                <w:lang w:val="vi-VN" w:eastAsia="vi-VN"/>
              </w:rPr>
              <w:t>Revenue from financial consulting activities</w:t>
            </w:r>
          </w:p>
        </w:tc>
        <w:tc>
          <w:tcPr>
            <w:tcW w:w="748" w:type="pct"/>
            <w:shd w:val="clear" w:color="auto" w:fill="auto"/>
            <w:vAlign w:val="center"/>
          </w:tcPr>
          <w:p w14:paraId="05867F74" w14:textId="344AC54B" w:rsidR="00E72B5C" w:rsidRPr="00E72B5C" w:rsidRDefault="00E72B5C"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13D44834" w14:textId="278C3AE3" w:rsidR="00E72B5C" w:rsidRPr="00E72B5C" w:rsidRDefault="00EB46EE" w:rsidP="00E72B5C">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3,</w:t>
            </w:r>
            <w:r w:rsidR="00E72B5C" w:rsidRPr="00E72B5C">
              <w:rPr>
                <w:rFonts w:ascii="Arial" w:eastAsia="Times New Roman" w:hAnsi="Arial" w:cs="Arial"/>
                <w:sz w:val="20"/>
                <w:lang w:val="vi-VN" w:eastAsia="vi-VN"/>
              </w:rPr>
              <w:t>168</w:t>
            </w:r>
          </w:p>
        </w:tc>
        <w:tc>
          <w:tcPr>
            <w:tcW w:w="526" w:type="pct"/>
            <w:shd w:val="clear" w:color="auto" w:fill="auto"/>
            <w:vAlign w:val="center"/>
          </w:tcPr>
          <w:p w14:paraId="51E2BC2B" w14:textId="77777777"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100</w:t>
            </w:r>
          </w:p>
        </w:tc>
        <w:tc>
          <w:tcPr>
            <w:tcW w:w="603" w:type="pct"/>
            <w:shd w:val="clear" w:color="auto" w:fill="auto"/>
            <w:vAlign w:val="center"/>
          </w:tcPr>
          <w:p w14:paraId="0259B031" w14:textId="275AC0D6" w:rsidR="00E72B5C" w:rsidRPr="00E72B5C" w:rsidRDefault="00E72B5C" w:rsidP="00E72B5C">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3</w:t>
            </w:r>
            <w:r w:rsidR="00D86363">
              <w:rPr>
                <w:rFonts w:ascii="Arial" w:eastAsia="Times New Roman" w:hAnsi="Arial" w:cs="Arial"/>
                <w:sz w:val="20"/>
                <w:lang w:eastAsia="vi-VN"/>
              </w:rPr>
              <w:t>,</w:t>
            </w:r>
            <w:r w:rsidRPr="00E72B5C">
              <w:rPr>
                <w:rFonts w:ascii="Arial" w:eastAsia="Times New Roman" w:hAnsi="Arial" w:cs="Arial"/>
                <w:sz w:val="20"/>
                <w:lang w:val="vi-VN" w:eastAsia="vi-VN"/>
              </w:rPr>
              <w:t>068%</w:t>
            </w:r>
          </w:p>
        </w:tc>
      </w:tr>
      <w:tr w:rsidR="00EB46EE" w:rsidRPr="00E72B5C" w14:paraId="796DC578" w14:textId="77777777" w:rsidTr="00EB46EE">
        <w:tc>
          <w:tcPr>
            <w:tcW w:w="2569" w:type="pct"/>
            <w:shd w:val="clear" w:color="auto" w:fill="auto"/>
            <w:vAlign w:val="center"/>
          </w:tcPr>
          <w:p w14:paraId="650945CD" w14:textId="77777777" w:rsidR="00EB46EE" w:rsidRPr="00E72B5C" w:rsidRDefault="00EB46EE" w:rsidP="00EB46EE">
            <w:pPr>
              <w:widowControl/>
              <w:spacing w:after="120" w:line="360" w:lineRule="auto"/>
              <w:rPr>
                <w:rFonts w:ascii="Arial" w:eastAsia="Times New Roman" w:hAnsi="Arial" w:cs="Arial"/>
                <w:color w:val="auto"/>
                <w:sz w:val="20"/>
                <w:lang w:val="vi-VN" w:eastAsia="en-US"/>
              </w:rPr>
            </w:pPr>
            <w:r w:rsidRPr="00EB46EE">
              <w:rPr>
                <w:rFonts w:ascii="Arial" w:eastAsia="Times New Roman" w:hAnsi="Arial" w:cs="Arial"/>
                <w:sz w:val="20"/>
                <w:lang w:val="vi-VN" w:eastAsia="vi-VN"/>
              </w:rPr>
              <w:t>Other operating revenue</w:t>
            </w:r>
          </w:p>
        </w:tc>
        <w:tc>
          <w:tcPr>
            <w:tcW w:w="748" w:type="pct"/>
            <w:shd w:val="clear" w:color="auto" w:fill="auto"/>
            <w:vAlign w:val="center"/>
          </w:tcPr>
          <w:p w14:paraId="16E3E5B8" w14:textId="53556D8A" w:rsidR="00EB46EE" w:rsidRPr="00E72B5C" w:rsidRDefault="00EB46EE"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3FF07945" w14:textId="77777777" w:rsidR="00EB46EE" w:rsidRPr="00E72B5C" w:rsidRDefault="00EB46EE" w:rsidP="00EB46EE">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212</w:t>
            </w:r>
          </w:p>
        </w:tc>
        <w:tc>
          <w:tcPr>
            <w:tcW w:w="526" w:type="pct"/>
            <w:shd w:val="clear" w:color="auto" w:fill="auto"/>
            <w:vAlign w:val="center"/>
          </w:tcPr>
          <w:p w14:paraId="0769131A" w14:textId="77777777" w:rsidR="00EB46EE" w:rsidRPr="00E72B5C" w:rsidRDefault="00EB46EE" w:rsidP="00EB46EE">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2</w:t>
            </w:r>
          </w:p>
        </w:tc>
        <w:tc>
          <w:tcPr>
            <w:tcW w:w="603" w:type="pct"/>
            <w:shd w:val="clear" w:color="auto" w:fill="auto"/>
            <w:vAlign w:val="center"/>
          </w:tcPr>
          <w:p w14:paraId="650E8769" w14:textId="0F581AAE" w:rsidR="00EB46EE" w:rsidRPr="00E72B5C" w:rsidRDefault="00EB46EE" w:rsidP="00EB46EE">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1</w:t>
            </w:r>
            <w:r>
              <w:rPr>
                <w:rFonts w:ascii="Arial" w:eastAsia="Times New Roman" w:hAnsi="Arial" w:cs="Arial"/>
                <w:sz w:val="20"/>
                <w:lang w:eastAsia="vi-VN"/>
              </w:rPr>
              <w:t>,</w:t>
            </w:r>
            <w:r w:rsidRPr="00E72B5C">
              <w:rPr>
                <w:rFonts w:ascii="Arial" w:eastAsia="Times New Roman" w:hAnsi="Arial" w:cs="Arial"/>
                <w:sz w:val="20"/>
                <w:lang w:val="vi-VN" w:eastAsia="vi-VN"/>
              </w:rPr>
              <w:t>0697%</w:t>
            </w:r>
          </w:p>
        </w:tc>
      </w:tr>
      <w:tr w:rsidR="00EB46EE" w:rsidRPr="00E72B5C" w14:paraId="651249C4" w14:textId="77777777" w:rsidTr="00EB46EE">
        <w:tc>
          <w:tcPr>
            <w:tcW w:w="2569" w:type="pct"/>
            <w:shd w:val="clear" w:color="auto" w:fill="auto"/>
            <w:vAlign w:val="center"/>
          </w:tcPr>
          <w:p w14:paraId="033D963E" w14:textId="6E5754BD" w:rsidR="00EB46EE" w:rsidRPr="00E72B5C" w:rsidRDefault="00D86363" w:rsidP="00D86363">
            <w:pPr>
              <w:widowControl/>
              <w:spacing w:after="120" w:line="360" w:lineRule="auto"/>
              <w:rPr>
                <w:rFonts w:ascii="Arial" w:eastAsia="Times New Roman" w:hAnsi="Arial" w:cs="Arial"/>
                <w:color w:val="auto"/>
                <w:sz w:val="20"/>
                <w:lang w:eastAsia="en-US"/>
              </w:rPr>
            </w:pPr>
            <w:r>
              <w:rPr>
                <w:rFonts w:ascii="Arial" w:eastAsia="Times New Roman" w:hAnsi="Arial" w:cs="Arial"/>
                <w:sz w:val="20"/>
                <w:lang w:val="vi-VN" w:eastAsia="vi-VN"/>
              </w:rPr>
              <w:t xml:space="preserve">Operating </w:t>
            </w:r>
            <w:r>
              <w:rPr>
                <w:rFonts w:ascii="Arial" w:eastAsia="Times New Roman" w:hAnsi="Arial" w:cs="Arial"/>
                <w:sz w:val="20"/>
                <w:lang w:eastAsia="vi-VN"/>
              </w:rPr>
              <w:t>expenses</w:t>
            </w:r>
          </w:p>
        </w:tc>
        <w:tc>
          <w:tcPr>
            <w:tcW w:w="748" w:type="pct"/>
            <w:shd w:val="clear" w:color="auto" w:fill="auto"/>
            <w:vAlign w:val="center"/>
          </w:tcPr>
          <w:p w14:paraId="6CB96F8F" w14:textId="34A7B6E7" w:rsidR="00EB46EE" w:rsidRPr="00E72B5C" w:rsidRDefault="00EB46EE"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20F9B325" w14:textId="2AD96362" w:rsidR="00EB46EE" w:rsidRPr="00E72B5C" w:rsidRDefault="00EB46EE" w:rsidP="00EB46EE">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151</w:t>
            </w:r>
            <w:r w:rsidR="00D86363">
              <w:rPr>
                <w:rFonts w:ascii="Arial" w:eastAsia="Times New Roman" w:hAnsi="Arial" w:cs="Arial"/>
                <w:sz w:val="20"/>
                <w:lang w:eastAsia="vi-VN"/>
              </w:rPr>
              <w:t>,</w:t>
            </w:r>
            <w:r w:rsidRPr="00E72B5C">
              <w:rPr>
                <w:rFonts w:ascii="Arial" w:eastAsia="Times New Roman" w:hAnsi="Arial" w:cs="Arial"/>
                <w:sz w:val="20"/>
                <w:lang w:val="vi-VN" w:eastAsia="vi-VN"/>
              </w:rPr>
              <w:t>347</w:t>
            </w:r>
          </w:p>
        </w:tc>
        <w:tc>
          <w:tcPr>
            <w:tcW w:w="526" w:type="pct"/>
            <w:shd w:val="clear" w:color="auto" w:fill="auto"/>
            <w:vAlign w:val="center"/>
          </w:tcPr>
          <w:p w14:paraId="265A561B" w14:textId="0F5F3202" w:rsidR="00EB46EE" w:rsidRPr="00E72B5C" w:rsidRDefault="00D86363"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50,</w:t>
            </w:r>
            <w:r w:rsidR="00EB46EE" w:rsidRPr="00E72B5C">
              <w:rPr>
                <w:rFonts w:ascii="Arial" w:eastAsia="Times New Roman" w:hAnsi="Arial" w:cs="Arial"/>
                <w:sz w:val="20"/>
                <w:lang w:val="vi-VN" w:eastAsia="vi-VN"/>
              </w:rPr>
              <w:t>683</w:t>
            </w:r>
          </w:p>
        </w:tc>
        <w:tc>
          <w:tcPr>
            <w:tcW w:w="603" w:type="pct"/>
            <w:shd w:val="clear" w:color="auto" w:fill="auto"/>
            <w:vAlign w:val="center"/>
          </w:tcPr>
          <w:p w14:paraId="72A5FE1B" w14:textId="77777777" w:rsidR="00EB46EE" w:rsidRPr="00E72B5C" w:rsidRDefault="00EB46EE" w:rsidP="00EB46EE">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199%</w:t>
            </w:r>
          </w:p>
        </w:tc>
      </w:tr>
      <w:tr w:rsidR="00EB46EE" w:rsidRPr="00E72B5C" w14:paraId="524A2C74" w14:textId="77777777" w:rsidTr="00EB46EE">
        <w:tc>
          <w:tcPr>
            <w:tcW w:w="2569" w:type="pct"/>
            <w:shd w:val="clear" w:color="auto" w:fill="auto"/>
            <w:vAlign w:val="center"/>
          </w:tcPr>
          <w:p w14:paraId="09A4DD11" w14:textId="15C45A2A" w:rsidR="00EB46EE" w:rsidRPr="00E72B5C" w:rsidRDefault="00D86363" w:rsidP="00EB46EE">
            <w:pPr>
              <w:widowControl/>
              <w:spacing w:after="120" w:line="360" w:lineRule="auto"/>
              <w:rPr>
                <w:rFonts w:ascii="Arial" w:eastAsia="Times New Roman" w:hAnsi="Arial" w:cs="Arial"/>
                <w:color w:val="auto"/>
                <w:sz w:val="20"/>
                <w:lang w:val="vi-VN" w:eastAsia="en-US"/>
              </w:rPr>
            </w:pPr>
            <w:r w:rsidRPr="00D86363">
              <w:rPr>
                <w:rFonts w:ascii="Arial" w:eastAsia="Times New Roman" w:hAnsi="Arial" w:cs="Arial"/>
                <w:sz w:val="20"/>
                <w:lang w:val="vi-VN" w:eastAsia="vi-VN"/>
              </w:rPr>
              <w:t>Operating gross profit</w:t>
            </w:r>
          </w:p>
        </w:tc>
        <w:tc>
          <w:tcPr>
            <w:tcW w:w="748" w:type="pct"/>
            <w:shd w:val="clear" w:color="auto" w:fill="auto"/>
            <w:vAlign w:val="center"/>
          </w:tcPr>
          <w:p w14:paraId="14C18821" w14:textId="7A408398" w:rsidR="00EB46EE" w:rsidRPr="00E72B5C" w:rsidRDefault="00EB46EE"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5F90213E" w14:textId="6A08D3B0" w:rsidR="00EB46EE" w:rsidRPr="00E72B5C" w:rsidRDefault="00D86363"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287,</w:t>
            </w:r>
            <w:r w:rsidR="00EB46EE" w:rsidRPr="00E72B5C">
              <w:rPr>
                <w:rFonts w:ascii="Arial" w:eastAsia="Times New Roman" w:hAnsi="Arial" w:cs="Arial"/>
                <w:sz w:val="20"/>
                <w:lang w:val="vi-VN" w:eastAsia="vi-VN"/>
              </w:rPr>
              <w:t>100</w:t>
            </w:r>
          </w:p>
        </w:tc>
        <w:tc>
          <w:tcPr>
            <w:tcW w:w="526" w:type="pct"/>
            <w:shd w:val="clear" w:color="auto" w:fill="auto"/>
            <w:vAlign w:val="center"/>
          </w:tcPr>
          <w:p w14:paraId="37583DC3" w14:textId="2CC79727" w:rsidR="00EB46EE" w:rsidRPr="00E72B5C" w:rsidRDefault="00D86363"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116,</w:t>
            </w:r>
            <w:r w:rsidR="00EB46EE" w:rsidRPr="00E72B5C">
              <w:rPr>
                <w:rFonts w:ascii="Arial" w:eastAsia="Times New Roman" w:hAnsi="Arial" w:cs="Arial"/>
                <w:sz w:val="20"/>
                <w:lang w:val="vi-VN" w:eastAsia="vi-VN"/>
              </w:rPr>
              <w:t>177</w:t>
            </w:r>
          </w:p>
        </w:tc>
        <w:tc>
          <w:tcPr>
            <w:tcW w:w="603" w:type="pct"/>
            <w:shd w:val="clear" w:color="auto" w:fill="auto"/>
            <w:vAlign w:val="center"/>
          </w:tcPr>
          <w:p w14:paraId="4F462D71" w14:textId="77777777" w:rsidR="00EB46EE" w:rsidRPr="00E72B5C" w:rsidRDefault="00EB46EE" w:rsidP="00EB46EE">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147%</w:t>
            </w:r>
          </w:p>
        </w:tc>
      </w:tr>
      <w:tr w:rsidR="00EB46EE" w:rsidRPr="00E72B5C" w14:paraId="44EC69B9" w14:textId="77777777" w:rsidTr="00EB46EE">
        <w:tc>
          <w:tcPr>
            <w:tcW w:w="2569" w:type="pct"/>
            <w:shd w:val="clear" w:color="auto" w:fill="auto"/>
            <w:vAlign w:val="center"/>
          </w:tcPr>
          <w:p w14:paraId="02984745" w14:textId="5FF129E3" w:rsidR="00EB46EE" w:rsidRPr="00E72B5C" w:rsidRDefault="00D86363" w:rsidP="00EB46EE">
            <w:pPr>
              <w:widowControl/>
              <w:spacing w:after="120" w:line="360" w:lineRule="auto"/>
              <w:rPr>
                <w:rFonts w:ascii="Arial" w:eastAsia="Times New Roman" w:hAnsi="Arial" w:cs="Arial"/>
                <w:color w:val="auto"/>
                <w:sz w:val="20"/>
                <w:lang w:val="vi-VN" w:eastAsia="en-US"/>
              </w:rPr>
            </w:pPr>
            <w:r w:rsidRPr="00D86363">
              <w:rPr>
                <w:rFonts w:ascii="Arial" w:eastAsia="Times New Roman" w:hAnsi="Arial" w:cs="Arial"/>
                <w:sz w:val="20"/>
                <w:lang w:val="vi-VN" w:eastAsia="vi-VN"/>
              </w:rPr>
              <w:t>Revenue from financial activities</w:t>
            </w:r>
          </w:p>
        </w:tc>
        <w:tc>
          <w:tcPr>
            <w:tcW w:w="748" w:type="pct"/>
            <w:shd w:val="clear" w:color="auto" w:fill="auto"/>
            <w:vAlign w:val="center"/>
          </w:tcPr>
          <w:p w14:paraId="26F2CF7A" w14:textId="1F497AE6" w:rsidR="00EB46EE" w:rsidRPr="00E72B5C" w:rsidRDefault="00EB46EE"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4C0E31A5" w14:textId="25779875" w:rsidR="00EB46EE" w:rsidRPr="00E72B5C" w:rsidRDefault="00D86363"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2,</w:t>
            </w:r>
            <w:r w:rsidR="00EB46EE" w:rsidRPr="00E72B5C">
              <w:rPr>
                <w:rFonts w:ascii="Arial" w:eastAsia="Times New Roman" w:hAnsi="Arial" w:cs="Arial"/>
                <w:sz w:val="20"/>
                <w:lang w:val="vi-VN" w:eastAsia="vi-VN"/>
              </w:rPr>
              <w:t>315</w:t>
            </w:r>
          </w:p>
        </w:tc>
        <w:tc>
          <w:tcPr>
            <w:tcW w:w="526" w:type="pct"/>
            <w:shd w:val="clear" w:color="auto" w:fill="auto"/>
            <w:vAlign w:val="center"/>
          </w:tcPr>
          <w:p w14:paraId="57936BDE" w14:textId="77777777" w:rsidR="00EB46EE" w:rsidRPr="00E72B5C" w:rsidRDefault="00EB46EE" w:rsidP="00EB46EE">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644</w:t>
            </w:r>
          </w:p>
        </w:tc>
        <w:tc>
          <w:tcPr>
            <w:tcW w:w="603" w:type="pct"/>
            <w:shd w:val="clear" w:color="auto" w:fill="auto"/>
            <w:vAlign w:val="center"/>
          </w:tcPr>
          <w:p w14:paraId="4D9E1730" w14:textId="77777777" w:rsidR="00EB46EE" w:rsidRPr="00E72B5C" w:rsidRDefault="00EB46EE" w:rsidP="00EB46EE">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259%</w:t>
            </w:r>
          </w:p>
        </w:tc>
      </w:tr>
      <w:tr w:rsidR="00EB46EE" w:rsidRPr="00E72B5C" w14:paraId="2B2D1011" w14:textId="77777777" w:rsidTr="00EB46EE">
        <w:tc>
          <w:tcPr>
            <w:tcW w:w="2569" w:type="pct"/>
            <w:shd w:val="clear" w:color="auto" w:fill="auto"/>
            <w:vAlign w:val="center"/>
          </w:tcPr>
          <w:p w14:paraId="3CA0BD84" w14:textId="53488E9C" w:rsidR="00EB46EE" w:rsidRPr="00E72B5C" w:rsidRDefault="00D86363" w:rsidP="00EB46EE">
            <w:pPr>
              <w:widowControl/>
              <w:spacing w:after="120" w:line="360" w:lineRule="auto"/>
              <w:rPr>
                <w:rFonts w:ascii="Arial" w:eastAsia="Times New Roman" w:hAnsi="Arial" w:cs="Arial"/>
                <w:color w:val="auto"/>
                <w:sz w:val="20"/>
                <w:lang w:eastAsia="en-US"/>
              </w:rPr>
            </w:pPr>
            <w:r w:rsidRPr="00D86363">
              <w:rPr>
                <w:rFonts w:ascii="Arial" w:eastAsia="Times New Roman" w:hAnsi="Arial" w:cs="Arial"/>
                <w:sz w:val="20"/>
                <w:lang w:val="vi-VN" w:eastAsia="vi-VN"/>
              </w:rPr>
              <w:t>Financial expense</w:t>
            </w:r>
            <w:r>
              <w:rPr>
                <w:rFonts w:ascii="Arial" w:eastAsia="Times New Roman" w:hAnsi="Arial" w:cs="Arial"/>
                <w:sz w:val="20"/>
                <w:lang w:eastAsia="vi-VN"/>
              </w:rPr>
              <w:t>s</w:t>
            </w:r>
          </w:p>
        </w:tc>
        <w:tc>
          <w:tcPr>
            <w:tcW w:w="748" w:type="pct"/>
            <w:shd w:val="clear" w:color="auto" w:fill="auto"/>
            <w:vAlign w:val="center"/>
          </w:tcPr>
          <w:p w14:paraId="7D934C96" w14:textId="556E9E60" w:rsidR="00EB46EE" w:rsidRPr="00E72B5C" w:rsidRDefault="00EB46EE"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16EE1C51" w14:textId="4F9646A6" w:rsidR="00EB46EE" w:rsidRPr="00E72B5C" w:rsidRDefault="00D86363"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100,</w:t>
            </w:r>
            <w:r w:rsidR="00EB46EE" w:rsidRPr="00E72B5C">
              <w:rPr>
                <w:rFonts w:ascii="Arial" w:eastAsia="Times New Roman" w:hAnsi="Arial" w:cs="Arial"/>
                <w:sz w:val="20"/>
                <w:lang w:val="vi-VN" w:eastAsia="vi-VN"/>
              </w:rPr>
              <w:t>847</w:t>
            </w:r>
          </w:p>
        </w:tc>
        <w:tc>
          <w:tcPr>
            <w:tcW w:w="526" w:type="pct"/>
            <w:shd w:val="clear" w:color="auto" w:fill="auto"/>
            <w:vAlign w:val="center"/>
          </w:tcPr>
          <w:p w14:paraId="47C112C9" w14:textId="0533F33D" w:rsidR="00EB46EE" w:rsidRPr="00E72B5C" w:rsidRDefault="00D86363"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42,</w:t>
            </w:r>
            <w:r w:rsidR="00EB46EE" w:rsidRPr="00E72B5C">
              <w:rPr>
                <w:rFonts w:ascii="Arial" w:eastAsia="Times New Roman" w:hAnsi="Arial" w:cs="Arial"/>
                <w:sz w:val="20"/>
                <w:lang w:val="vi-VN" w:eastAsia="vi-VN"/>
              </w:rPr>
              <w:t>154</w:t>
            </w:r>
          </w:p>
        </w:tc>
        <w:tc>
          <w:tcPr>
            <w:tcW w:w="603" w:type="pct"/>
            <w:shd w:val="clear" w:color="auto" w:fill="auto"/>
            <w:vAlign w:val="center"/>
          </w:tcPr>
          <w:p w14:paraId="54FA8E2C" w14:textId="77777777" w:rsidR="00EB46EE" w:rsidRPr="00E72B5C" w:rsidRDefault="00EB46EE" w:rsidP="00EB46EE">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139%</w:t>
            </w:r>
          </w:p>
        </w:tc>
      </w:tr>
      <w:tr w:rsidR="00EB46EE" w:rsidRPr="00E72B5C" w14:paraId="146A1D0D" w14:textId="77777777" w:rsidTr="00EB46EE">
        <w:tc>
          <w:tcPr>
            <w:tcW w:w="2569" w:type="pct"/>
            <w:shd w:val="clear" w:color="auto" w:fill="auto"/>
            <w:vAlign w:val="center"/>
          </w:tcPr>
          <w:p w14:paraId="7ACE2D18" w14:textId="4F22C91A" w:rsidR="00EB46EE" w:rsidRPr="00E72B5C" w:rsidRDefault="00D86363" w:rsidP="00D86363">
            <w:pPr>
              <w:widowControl/>
              <w:spacing w:after="120" w:line="360" w:lineRule="auto"/>
              <w:rPr>
                <w:rFonts w:ascii="Arial" w:eastAsia="Times New Roman" w:hAnsi="Arial" w:cs="Arial"/>
                <w:color w:val="auto"/>
                <w:sz w:val="20"/>
                <w:lang w:eastAsia="en-US"/>
              </w:rPr>
            </w:pPr>
            <w:r w:rsidRPr="00D86363">
              <w:rPr>
                <w:rFonts w:ascii="Arial" w:eastAsia="Times New Roman" w:hAnsi="Arial" w:cs="Arial"/>
                <w:sz w:val="20"/>
                <w:lang w:val="vi-VN" w:eastAsia="vi-VN"/>
              </w:rPr>
              <w:t xml:space="preserve">Management </w:t>
            </w:r>
            <w:r>
              <w:rPr>
                <w:rFonts w:ascii="Arial" w:eastAsia="Times New Roman" w:hAnsi="Arial" w:cs="Arial"/>
                <w:sz w:val="20"/>
                <w:lang w:eastAsia="vi-VN"/>
              </w:rPr>
              <w:t>expenses</w:t>
            </w:r>
          </w:p>
        </w:tc>
        <w:tc>
          <w:tcPr>
            <w:tcW w:w="748" w:type="pct"/>
            <w:shd w:val="clear" w:color="auto" w:fill="auto"/>
            <w:vAlign w:val="center"/>
          </w:tcPr>
          <w:p w14:paraId="52A4F884" w14:textId="1E3046C5" w:rsidR="00EB46EE" w:rsidRPr="00E72B5C" w:rsidRDefault="00EB46EE"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1DDEB11A" w14:textId="582E9719" w:rsidR="00EB46EE" w:rsidRPr="00E72B5C" w:rsidRDefault="00D86363"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38,</w:t>
            </w:r>
            <w:r w:rsidR="00EB46EE" w:rsidRPr="00E72B5C">
              <w:rPr>
                <w:rFonts w:ascii="Arial" w:eastAsia="Times New Roman" w:hAnsi="Arial" w:cs="Arial"/>
                <w:sz w:val="20"/>
                <w:lang w:val="vi-VN" w:eastAsia="vi-VN"/>
              </w:rPr>
              <w:t>402</w:t>
            </w:r>
          </w:p>
        </w:tc>
        <w:tc>
          <w:tcPr>
            <w:tcW w:w="526" w:type="pct"/>
            <w:shd w:val="clear" w:color="auto" w:fill="auto"/>
            <w:vAlign w:val="center"/>
          </w:tcPr>
          <w:p w14:paraId="033D016C" w14:textId="1293C626" w:rsidR="00EB46EE" w:rsidRPr="00E72B5C" w:rsidRDefault="00D86363"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32,</w:t>
            </w:r>
            <w:r w:rsidR="00EB46EE" w:rsidRPr="00E72B5C">
              <w:rPr>
                <w:rFonts w:ascii="Arial" w:eastAsia="Times New Roman" w:hAnsi="Arial" w:cs="Arial"/>
                <w:sz w:val="20"/>
                <w:lang w:val="vi-VN" w:eastAsia="vi-VN"/>
              </w:rPr>
              <w:t>110</w:t>
            </w:r>
          </w:p>
        </w:tc>
        <w:tc>
          <w:tcPr>
            <w:tcW w:w="603" w:type="pct"/>
            <w:shd w:val="clear" w:color="auto" w:fill="auto"/>
            <w:vAlign w:val="center"/>
          </w:tcPr>
          <w:p w14:paraId="566C50F1" w14:textId="77777777" w:rsidR="00EB46EE" w:rsidRPr="00E72B5C" w:rsidRDefault="00EB46EE" w:rsidP="00EB46EE">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20%</w:t>
            </w:r>
          </w:p>
        </w:tc>
      </w:tr>
      <w:tr w:rsidR="00EB46EE" w:rsidRPr="00E72B5C" w14:paraId="1C3229EE" w14:textId="77777777" w:rsidTr="00EB46EE">
        <w:tc>
          <w:tcPr>
            <w:tcW w:w="2569" w:type="pct"/>
            <w:shd w:val="clear" w:color="auto" w:fill="auto"/>
            <w:vAlign w:val="center"/>
          </w:tcPr>
          <w:p w14:paraId="45E92AA1" w14:textId="18B38A0E" w:rsidR="00EB46EE" w:rsidRPr="00E72B5C" w:rsidRDefault="00D86363" w:rsidP="00EB46EE">
            <w:pPr>
              <w:widowControl/>
              <w:spacing w:after="120" w:line="360" w:lineRule="auto"/>
              <w:rPr>
                <w:rFonts w:ascii="Arial" w:eastAsia="Times New Roman" w:hAnsi="Arial" w:cs="Arial"/>
                <w:color w:val="auto"/>
                <w:sz w:val="20"/>
                <w:lang w:eastAsia="en-US"/>
              </w:rPr>
            </w:pPr>
            <w:r>
              <w:rPr>
                <w:rFonts w:ascii="Arial" w:eastAsia="Times New Roman" w:hAnsi="Arial" w:cs="Arial"/>
                <w:sz w:val="20"/>
                <w:lang w:eastAsia="vi-VN"/>
              </w:rPr>
              <w:t>Other profits</w:t>
            </w:r>
          </w:p>
        </w:tc>
        <w:tc>
          <w:tcPr>
            <w:tcW w:w="748" w:type="pct"/>
            <w:shd w:val="clear" w:color="auto" w:fill="auto"/>
            <w:vAlign w:val="center"/>
          </w:tcPr>
          <w:p w14:paraId="1D153117" w14:textId="502AFA43" w:rsidR="00EB46EE" w:rsidRPr="00E72B5C" w:rsidRDefault="00EB46EE"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51090796" w14:textId="77777777" w:rsidR="00EB46EE" w:rsidRPr="00E72B5C" w:rsidRDefault="00EB46EE" w:rsidP="00EB46EE">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(0)</w:t>
            </w:r>
          </w:p>
        </w:tc>
        <w:tc>
          <w:tcPr>
            <w:tcW w:w="526" w:type="pct"/>
            <w:shd w:val="clear" w:color="auto" w:fill="auto"/>
            <w:vAlign w:val="center"/>
          </w:tcPr>
          <w:p w14:paraId="6274E33A" w14:textId="77777777" w:rsidR="00EB46EE" w:rsidRPr="00E72B5C" w:rsidRDefault="00EB46EE" w:rsidP="00EB46EE">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-161</w:t>
            </w:r>
          </w:p>
        </w:tc>
        <w:tc>
          <w:tcPr>
            <w:tcW w:w="603" w:type="pct"/>
            <w:shd w:val="clear" w:color="auto" w:fill="auto"/>
            <w:vAlign w:val="center"/>
          </w:tcPr>
          <w:p w14:paraId="393E0AD4" w14:textId="77777777" w:rsidR="00EB46EE" w:rsidRPr="00E72B5C" w:rsidRDefault="00EB46EE" w:rsidP="00EB46EE">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-100%</w:t>
            </w:r>
          </w:p>
        </w:tc>
      </w:tr>
      <w:tr w:rsidR="00EB46EE" w:rsidRPr="00E72B5C" w14:paraId="34F65206" w14:textId="77777777" w:rsidTr="00EB46EE">
        <w:tc>
          <w:tcPr>
            <w:tcW w:w="2569" w:type="pct"/>
            <w:shd w:val="clear" w:color="auto" w:fill="auto"/>
            <w:vAlign w:val="center"/>
          </w:tcPr>
          <w:p w14:paraId="4B7F4ACE" w14:textId="3E110395" w:rsidR="00EB46EE" w:rsidRPr="00E72B5C" w:rsidRDefault="00D86363" w:rsidP="00EB46EE">
            <w:pPr>
              <w:widowControl/>
              <w:spacing w:after="120" w:line="360" w:lineRule="auto"/>
              <w:rPr>
                <w:rFonts w:ascii="Arial" w:eastAsia="Times New Roman" w:hAnsi="Arial" w:cs="Arial"/>
                <w:color w:val="auto"/>
                <w:sz w:val="20"/>
                <w:lang w:eastAsia="en-US"/>
              </w:rPr>
            </w:pPr>
            <w:r>
              <w:rPr>
                <w:rFonts w:ascii="Arial" w:eastAsia="Times New Roman" w:hAnsi="Arial" w:cs="Arial"/>
                <w:sz w:val="20"/>
                <w:lang w:eastAsia="vi-VN"/>
              </w:rPr>
              <w:t>Total profit before tax</w:t>
            </w:r>
          </w:p>
        </w:tc>
        <w:tc>
          <w:tcPr>
            <w:tcW w:w="748" w:type="pct"/>
            <w:shd w:val="clear" w:color="auto" w:fill="auto"/>
            <w:vAlign w:val="center"/>
          </w:tcPr>
          <w:p w14:paraId="6D659547" w14:textId="0A957400" w:rsidR="00EB46EE" w:rsidRPr="00E72B5C" w:rsidRDefault="00EB46EE"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6D1CB9D4" w14:textId="182D1036" w:rsidR="00EB46EE" w:rsidRPr="00E72B5C" w:rsidRDefault="00D86363"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150,</w:t>
            </w:r>
            <w:r w:rsidR="00EB46EE" w:rsidRPr="00E72B5C">
              <w:rPr>
                <w:rFonts w:ascii="Arial" w:eastAsia="Times New Roman" w:hAnsi="Arial" w:cs="Arial"/>
                <w:sz w:val="20"/>
                <w:lang w:val="vi-VN" w:eastAsia="vi-VN"/>
              </w:rPr>
              <w:t>166</w:t>
            </w:r>
          </w:p>
        </w:tc>
        <w:tc>
          <w:tcPr>
            <w:tcW w:w="526" w:type="pct"/>
            <w:shd w:val="clear" w:color="auto" w:fill="auto"/>
            <w:vAlign w:val="center"/>
          </w:tcPr>
          <w:p w14:paraId="0211EFBB" w14:textId="3719FCAB" w:rsidR="00EB46EE" w:rsidRPr="00E72B5C" w:rsidRDefault="00D86363"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42,</w:t>
            </w:r>
            <w:r w:rsidR="00EB46EE" w:rsidRPr="00E72B5C">
              <w:rPr>
                <w:rFonts w:ascii="Arial" w:eastAsia="Times New Roman" w:hAnsi="Arial" w:cs="Arial"/>
                <w:sz w:val="20"/>
                <w:lang w:val="vi-VN" w:eastAsia="vi-VN"/>
              </w:rPr>
              <w:t>396</w:t>
            </w:r>
          </w:p>
        </w:tc>
        <w:tc>
          <w:tcPr>
            <w:tcW w:w="603" w:type="pct"/>
            <w:shd w:val="clear" w:color="auto" w:fill="auto"/>
            <w:vAlign w:val="center"/>
          </w:tcPr>
          <w:p w14:paraId="05269A33" w14:textId="77777777" w:rsidR="00EB46EE" w:rsidRPr="00E72B5C" w:rsidRDefault="00EB46EE" w:rsidP="00EB46EE">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254%</w:t>
            </w:r>
          </w:p>
        </w:tc>
      </w:tr>
      <w:tr w:rsidR="00EB46EE" w:rsidRPr="00E72B5C" w14:paraId="6CF5C99A" w14:textId="77777777" w:rsidTr="00EB46EE">
        <w:tc>
          <w:tcPr>
            <w:tcW w:w="2569" w:type="pct"/>
            <w:shd w:val="clear" w:color="auto" w:fill="auto"/>
            <w:vAlign w:val="center"/>
          </w:tcPr>
          <w:p w14:paraId="68B58330" w14:textId="2C506971" w:rsidR="00EB46EE" w:rsidRPr="00E72B5C" w:rsidRDefault="00D86363" w:rsidP="00EB46EE">
            <w:pPr>
              <w:widowControl/>
              <w:spacing w:after="120" w:line="360" w:lineRule="auto"/>
              <w:rPr>
                <w:rFonts w:ascii="Arial" w:eastAsia="Times New Roman" w:hAnsi="Arial" w:cs="Arial"/>
                <w:color w:val="auto"/>
                <w:sz w:val="20"/>
                <w:lang w:val="vi-VN" w:eastAsia="en-US"/>
              </w:rPr>
            </w:pPr>
            <w:r w:rsidRPr="00D86363">
              <w:rPr>
                <w:rFonts w:ascii="Arial" w:eastAsia="Times New Roman" w:hAnsi="Arial" w:cs="Arial"/>
                <w:sz w:val="20"/>
                <w:lang w:val="vi-VN" w:eastAsia="vi-VN"/>
              </w:rPr>
              <w:t>Corporate income tax expense</w:t>
            </w:r>
          </w:p>
        </w:tc>
        <w:tc>
          <w:tcPr>
            <w:tcW w:w="748" w:type="pct"/>
            <w:shd w:val="clear" w:color="auto" w:fill="auto"/>
            <w:vAlign w:val="center"/>
          </w:tcPr>
          <w:p w14:paraId="1676C349" w14:textId="015EAB1C" w:rsidR="00EB46EE" w:rsidRPr="00E72B5C" w:rsidRDefault="00EB46EE"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652E8675" w14:textId="0D30C337" w:rsidR="00EB46EE" w:rsidRPr="00E72B5C" w:rsidRDefault="00EB46EE" w:rsidP="00D86363">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30</w:t>
            </w:r>
            <w:r w:rsidR="00D86363">
              <w:rPr>
                <w:rFonts w:ascii="Arial" w:eastAsia="Times New Roman" w:hAnsi="Arial" w:cs="Arial"/>
                <w:sz w:val="20"/>
                <w:lang w:eastAsia="vi-VN"/>
              </w:rPr>
              <w:t>,</w:t>
            </w:r>
            <w:r w:rsidRPr="00E72B5C">
              <w:rPr>
                <w:rFonts w:ascii="Arial" w:eastAsia="Times New Roman" w:hAnsi="Arial" w:cs="Arial"/>
                <w:sz w:val="20"/>
                <w:lang w:val="vi-VN" w:eastAsia="vi-VN"/>
              </w:rPr>
              <w:t>249</w:t>
            </w:r>
          </w:p>
        </w:tc>
        <w:tc>
          <w:tcPr>
            <w:tcW w:w="526" w:type="pct"/>
            <w:shd w:val="clear" w:color="auto" w:fill="auto"/>
            <w:vAlign w:val="center"/>
          </w:tcPr>
          <w:p w14:paraId="44E92686" w14:textId="252159B4" w:rsidR="00EB46EE" w:rsidRPr="00E72B5C" w:rsidRDefault="00EB46EE" w:rsidP="00D86363">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8</w:t>
            </w:r>
            <w:r w:rsidR="00D86363">
              <w:rPr>
                <w:rFonts w:ascii="Arial" w:eastAsia="Times New Roman" w:hAnsi="Arial" w:cs="Arial"/>
                <w:sz w:val="20"/>
                <w:lang w:eastAsia="vi-VN"/>
              </w:rPr>
              <w:t>,</w:t>
            </w:r>
            <w:r w:rsidRPr="00E72B5C">
              <w:rPr>
                <w:rFonts w:ascii="Arial" w:eastAsia="Times New Roman" w:hAnsi="Arial" w:cs="Arial"/>
                <w:sz w:val="20"/>
                <w:lang w:val="vi-VN" w:eastAsia="vi-VN"/>
              </w:rPr>
              <w:t>949</w:t>
            </w:r>
          </w:p>
        </w:tc>
        <w:tc>
          <w:tcPr>
            <w:tcW w:w="603" w:type="pct"/>
            <w:shd w:val="clear" w:color="auto" w:fill="auto"/>
            <w:vAlign w:val="center"/>
          </w:tcPr>
          <w:p w14:paraId="3F77AB5C" w14:textId="77777777" w:rsidR="00EB46EE" w:rsidRPr="00E72B5C" w:rsidRDefault="00EB46EE" w:rsidP="00EB46EE">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238%</w:t>
            </w:r>
          </w:p>
        </w:tc>
      </w:tr>
      <w:tr w:rsidR="00EB46EE" w:rsidRPr="00E72B5C" w14:paraId="6C6CDFCB" w14:textId="77777777" w:rsidTr="00EB46EE">
        <w:tc>
          <w:tcPr>
            <w:tcW w:w="2569" w:type="pct"/>
            <w:shd w:val="clear" w:color="auto" w:fill="auto"/>
            <w:vAlign w:val="center"/>
          </w:tcPr>
          <w:p w14:paraId="2C440957" w14:textId="171D00D8" w:rsidR="00EB46EE" w:rsidRPr="00E72B5C" w:rsidRDefault="00D86363"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color w:val="auto"/>
                <w:sz w:val="20"/>
                <w:lang w:val="vi-VN" w:eastAsia="en-US"/>
              </w:rPr>
              <w:t xml:space="preserve">Profit </w:t>
            </w:r>
            <w:r w:rsidRPr="00D86363">
              <w:rPr>
                <w:rFonts w:ascii="Arial" w:eastAsia="Times New Roman" w:hAnsi="Arial" w:cs="Arial"/>
                <w:color w:val="auto"/>
                <w:sz w:val="20"/>
                <w:lang w:val="vi-VN" w:eastAsia="en-US"/>
              </w:rPr>
              <w:t>after tax</w:t>
            </w:r>
          </w:p>
        </w:tc>
        <w:tc>
          <w:tcPr>
            <w:tcW w:w="748" w:type="pct"/>
            <w:shd w:val="clear" w:color="auto" w:fill="auto"/>
            <w:vAlign w:val="center"/>
          </w:tcPr>
          <w:p w14:paraId="492713C4" w14:textId="00E82E51" w:rsidR="00EB46EE" w:rsidRPr="00E72B5C" w:rsidRDefault="00EB46EE"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eastAsia="vi-VN"/>
              </w:rPr>
              <w:t>Million VND</w:t>
            </w:r>
          </w:p>
        </w:tc>
        <w:tc>
          <w:tcPr>
            <w:tcW w:w="554" w:type="pct"/>
            <w:shd w:val="clear" w:color="auto" w:fill="auto"/>
            <w:vAlign w:val="center"/>
          </w:tcPr>
          <w:p w14:paraId="7B2E12C7" w14:textId="19FA1C36" w:rsidR="00EB46EE" w:rsidRPr="00E72B5C" w:rsidRDefault="00D86363"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119,</w:t>
            </w:r>
            <w:r w:rsidR="00EB46EE" w:rsidRPr="00E72B5C">
              <w:rPr>
                <w:rFonts w:ascii="Arial" w:eastAsia="Times New Roman" w:hAnsi="Arial" w:cs="Arial"/>
                <w:sz w:val="20"/>
                <w:lang w:val="vi-VN" w:eastAsia="vi-VN"/>
              </w:rPr>
              <w:t>917</w:t>
            </w:r>
          </w:p>
        </w:tc>
        <w:tc>
          <w:tcPr>
            <w:tcW w:w="526" w:type="pct"/>
            <w:shd w:val="clear" w:color="auto" w:fill="auto"/>
            <w:vAlign w:val="center"/>
          </w:tcPr>
          <w:p w14:paraId="31934E8F" w14:textId="50621E03" w:rsidR="00EB46EE" w:rsidRPr="00E72B5C" w:rsidRDefault="00D86363" w:rsidP="00EB46EE">
            <w:pPr>
              <w:widowControl/>
              <w:spacing w:after="120" w:line="360" w:lineRule="auto"/>
              <w:rPr>
                <w:rFonts w:ascii="Arial" w:eastAsia="Times New Roman" w:hAnsi="Arial" w:cs="Arial"/>
                <w:color w:val="auto"/>
                <w:sz w:val="20"/>
                <w:lang w:val="vi-VN" w:eastAsia="en-US"/>
              </w:rPr>
            </w:pPr>
            <w:r>
              <w:rPr>
                <w:rFonts w:ascii="Arial" w:eastAsia="Times New Roman" w:hAnsi="Arial" w:cs="Arial"/>
                <w:sz w:val="20"/>
                <w:lang w:val="vi-VN" w:eastAsia="vi-VN"/>
              </w:rPr>
              <w:t>33,</w:t>
            </w:r>
            <w:r w:rsidR="00EB46EE" w:rsidRPr="00E72B5C">
              <w:rPr>
                <w:rFonts w:ascii="Arial" w:eastAsia="Times New Roman" w:hAnsi="Arial" w:cs="Arial"/>
                <w:sz w:val="20"/>
                <w:lang w:val="vi-VN" w:eastAsia="vi-VN"/>
              </w:rPr>
              <w:t>447</w:t>
            </w:r>
          </w:p>
        </w:tc>
        <w:tc>
          <w:tcPr>
            <w:tcW w:w="603" w:type="pct"/>
            <w:shd w:val="clear" w:color="auto" w:fill="auto"/>
            <w:vAlign w:val="center"/>
          </w:tcPr>
          <w:p w14:paraId="7B399DEF" w14:textId="77777777" w:rsidR="00EB46EE" w:rsidRPr="00E72B5C" w:rsidRDefault="00EB46EE" w:rsidP="00EB46EE">
            <w:pPr>
              <w:widowControl/>
              <w:spacing w:after="120" w:line="360" w:lineRule="auto"/>
              <w:rPr>
                <w:rFonts w:ascii="Arial" w:eastAsia="Times New Roman" w:hAnsi="Arial" w:cs="Arial"/>
                <w:color w:val="auto"/>
                <w:sz w:val="20"/>
                <w:lang w:val="vi-VN" w:eastAsia="en-US"/>
              </w:rPr>
            </w:pPr>
            <w:r w:rsidRPr="00E72B5C">
              <w:rPr>
                <w:rFonts w:ascii="Arial" w:eastAsia="Times New Roman" w:hAnsi="Arial" w:cs="Arial"/>
                <w:sz w:val="20"/>
                <w:lang w:val="vi-VN" w:eastAsia="vi-VN"/>
              </w:rPr>
              <w:t>259%</w:t>
            </w:r>
          </w:p>
        </w:tc>
      </w:tr>
    </w:tbl>
    <w:p w14:paraId="293F5F4B"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‎‎Article 2. Approve the Company's Financial Statements 2023 which was independently audited by RSM Vietnam Auditing &amp; Consulting Company Limited - Hanoi Branch, signed on January 22, 2024.</w:t>
      </w:r>
    </w:p>
    <w:p w14:paraId="7F378B65" w14:textId="00895DEC"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‎‎Article 3. Approve the Profit Distribution Plan 2023. In which:</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08"/>
        <w:gridCol w:w="4509"/>
      </w:tblGrid>
      <w:tr w:rsidR="002F2C1A" w:rsidRPr="00E72B5C" w14:paraId="445EC607" w14:textId="77777777" w:rsidTr="00E72B5C">
        <w:tc>
          <w:tcPr>
            <w:tcW w:w="2500" w:type="pct"/>
            <w:shd w:val="clear" w:color="auto" w:fill="auto"/>
            <w:vAlign w:val="center"/>
          </w:tcPr>
          <w:p w14:paraId="10EBA904" w14:textId="77777777" w:rsidR="002F2C1A" w:rsidRPr="00E72B5C" w:rsidRDefault="007D0767" w:rsidP="00E72B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Targets</w:t>
            </w:r>
          </w:p>
        </w:tc>
        <w:tc>
          <w:tcPr>
            <w:tcW w:w="2500" w:type="pct"/>
            <w:shd w:val="clear" w:color="auto" w:fill="auto"/>
            <w:vAlign w:val="center"/>
          </w:tcPr>
          <w:p w14:paraId="3BBFB3BA" w14:textId="77777777" w:rsidR="002F2C1A" w:rsidRPr="00E72B5C" w:rsidRDefault="007D0767" w:rsidP="00E72B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In 2023 (VND)</w:t>
            </w:r>
          </w:p>
        </w:tc>
      </w:tr>
      <w:tr w:rsidR="002F2C1A" w:rsidRPr="00E72B5C" w14:paraId="2C3F84DD" w14:textId="77777777" w:rsidTr="00E72B5C">
        <w:tc>
          <w:tcPr>
            <w:tcW w:w="2500" w:type="pct"/>
            <w:shd w:val="clear" w:color="auto" w:fill="auto"/>
            <w:vAlign w:val="center"/>
          </w:tcPr>
          <w:p w14:paraId="02DFE41F" w14:textId="77777777" w:rsidR="002F2C1A" w:rsidRPr="00E72B5C" w:rsidRDefault="007D0767" w:rsidP="00E72B5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72B5C">
              <w:rPr>
                <w:rFonts w:ascii="Arial" w:hAnsi="Arial" w:cs="Arial"/>
                <w:color w:val="010000"/>
                <w:sz w:val="20"/>
              </w:rPr>
              <w:t xml:space="preserve">Profit after tax in 2023 </w:t>
            </w:r>
          </w:p>
        </w:tc>
        <w:tc>
          <w:tcPr>
            <w:tcW w:w="2500" w:type="pct"/>
            <w:shd w:val="clear" w:color="auto" w:fill="auto"/>
            <w:vAlign w:val="center"/>
          </w:tcPr>
          <w:p w14:paraId="623F2A1D"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119,916,788,312</w:t>
            </w:r>
          </w:p>
        </w:tc>
      </w:tr>
      <w:tr w:rsidR="002F2C1A" w:rsidRPr="00E72B5C" w14:paraId="457B6A84" w14:textId="77777777" w:rsidTr="00E72B5C">
        <w:tc>
          <w:tcPr>
            <w:tcW w:w="2500" w:type="pct"/>
            <w:shd w:val="clear" w:color="auto" w:fill="auto"/>
            <w:vAlign w:val="center"/>
          </w:tcPr>
          <w:p w14:paraId="1BD8D31A" w14:textId="77777777" w:rsidR="002F2C1A" w:rsidRPr="00E72B5C" w:rsidRDefault="007D0767" w:rsidP="00E72B5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72B5C">
              <w:rPr>
                <w:rFonts w:ascii="Arial" w:hAnsi="Arial" w:cs="Arial"/>
                <w:color w:val="010000"/>
                <w:sz w:val="20"/>
              </w:rPr>
              <w:t>Appropriation for bonus and welfare funds</w:t>
            </w:r>
          </w:p>
        </w:tc>
        <w:tc>
          <w:tcPr>
            <w:tcW w:w="2500" w:type="pct"/>
            <w:shd w:val="clear" w:color="auto" w:fill="auto"/>
            <w:vAlign w:val="center"/>
          </w:tcPr>
          <w:p w14:paraId="6827447D"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9,000,000,000</w:t>
            </w:r>
          </w:p>
        </w:tc>
      </w:tr>
      <w:tr w:rsidR="002F2C1A" w:rsidRPr="00E72B5C" w14:paraId="1AEAC3E2" w14:textId="77777777" w:rsidTr="00E72B5C">
        <w:tc>
          <w:tcPr>
            <w:tcW w:w="2500" w:type="pct"/>
            <w:shd w:val="clear" w:color="auto" w:fill="auto"/>
            <w:vAlign w:val="center"/>
          </w:tcPr>
          <w:p w14:paraId="2AB23481" w14:textId="77777777" w:rsidR="002F2C1A" w:rsidRPr="00E72B5C" w:rsidRDefault="007D0767" w:rsidP="00E72B5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72B5C">
              <w:rPr>
                <w:rFonts w:ascii="Arial" w:hAnsi="Arial" w:cs="Arial"/>
                <w:color w:val="010000"/>
                <w:sz w:val="20"/>
              </w:rPr>
              <w:t>Dividend payment</w:t>
            </w:r>
          </w:p>
        </w:tc>
        <w:tc>
          <w:tcPr>
            <w:tcW w:w="2500" w:type="pct"/>
            <w:shd w:val="clear" w:color="auto" w:fill="auto"/>
            <w:vAlign w:val="center"/>
          </w:tcPr>
          <w:p w14:paraId="1194F795"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0</w:t>
            </w:r>
          </w:p>
        </w:tc>
      </w:tr>
      <w:tr w:rsidR="002F2C1A" w:rsidRPr="00E72B5C" w14:paraId="269E7414" w14:textId="77777777" w:rsidTr="00E72B5C">
        <w:tc>
          <w:tcPr>
            <w:tcW w:w="2500" w:type="pct"/>
            <w:shd w:val="clear" w:color="auto" w:fill="auto"/>
            <w:vAlign w:val="center"/>
          </w:tcPr>
          <w:p w14:paraId="3B6963C8" w14:textId="77777777" w:rsidR="002F2C1A" w:rsidRPr="00E72B5C" w:rsidRDefault="007D0767" w:rsidP="00E72B5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72B5C">
              <w:rPr>
                <w:rFonts w:ascii="Arial" w:hAnsi="Arial" w:cs="Arial"/>
                <w:color w:val="010000"/>
                <w:sz w:val="20"/>
              </w:rPr>
              <w:t>Undistributed profits transferred to 2024</w:t>
            </w:r>
          </w:p>
        </w:tc>
        <w:tc>
          <w:tcPr>
            <w:tcW w:w="2500" w:type="pct"/>
            <w:shd w:val="clear" w:color="auto" w:fill="auto"/>
            <w:vAlign w:val="center"/>
          </w:tcPr>
          <w:p w14:paraId="5525CFB7"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184,628,313,871</w:t>
            </w:r>
          </w:p>
        </w:tc>
      </w:tr>
    </w:tbl>
    <w:p w14:paraId="27D7D984" w14:textId="30E4CC46"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‎‎Article 4. Approve the remuneration of the Board of Directors and the Supervisory Board.</w:t>
      </w:r>
    </w:p>
    <w:p w14:paraId="1EC063EA" w14:textId="547D7358"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‎‎Article 5. Approve the Business Plan 2024, specifically as follows:</w:t>
      </w:r>
    </w:p>
    <w:p w14:paraId="55C5BC02"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The General Meeting of Shareholders authorizes the Board of Directors to approve adjusting the plan (if necessary) to suit the Company's actual business situation in 2024, report at the nearest General Meeting.</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5"/>
        <w:gridCol w:w="3434"/>
        <w:gridCol w:w="2254"/>
        <w:gridCol w:w="2254"/>
      </w:tblGrid>
      <w:tr w:rsidR="002F2C1A" w:rsidRPr="00E72B5C" w14:paraId="60304B17" w14:textId="77777777" w:rsidTr="00E72B5C">
        <w:tc>
          <w:tcPr>
            <w:tcW w:w="596" w:type="pct"/>
            <w:shd w:val="clear" w:color="auto" w:fill="auto"/>
            <w:vAlign w:val="center"/>
          </w:tcPr>
          <w:p w14:paraId="1DCA74D1"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lastRenderedPageBreak/>
              <w:t>No.</w:t>
            </w:r>
          </w:p>
        </w:tc>
        <w:tc>
          <w:tcPr>
            <w:tcW w:w="1904" w:type="pct"/>
            <w:shd w:val="clear" w:color="auto" w:fill="auto"/>
            <w:vAlign w:val="center"/>
          </w:tcPr>
          <w:p w14:paraId="7AF03277"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Targets</w:t>
            </w:r>
          </w:p>
        </w:tc>
        <w:tc>
          <w:tcPr>
            <w:tcW w:w="1250" w:type="pct"/>
            <w:shd w:val="clear" w:color="auto" w:fill="auto"/>
            <w:vAlign w:val="center"/>
          </w:tcPr>
          <w:p w14:paraId="6BCCF670" w14:textId="283BCE1C"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Unit</w:t>
            </w:r>
          </w:p>
        </w:tc>
        <w:tc>
          <w:tcPr>
            <w:tcW w:w="1250" w:type="pct"/>
            <w:shd w:val="clear" w:color="auto" w:fill="auto"/>
            <w:vAlign w:val="center"/>
          </w:tcPr>
          <w:p w14:paraId="31172697"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Business plan for 2024</w:t>
            </w:r>
          </w:p>
        </w:tc>
      </w:tr>
      <w:tr w:rsidR="002F2C1A" w:rsidRPr="00E72B5C" w14:paraId="0736624E" w14:textId="77777777" w:rsidTr="00E72B5C">
        <w:tc>
          <w:tcPr>
            <w:tcW w:w="596" w:type="pct"/>
            <w:shd w:val="clear" w:color="auto" w:fill="auto"/>
            <w:vAlign w:val="center"/>
          </w:tcPr>
          <w:p w14:paraId="37BDA233"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1</w:t>
            </w:r>
          </w:p>
        </w:tc>
        <w:tc>
          <w:tcPr>
            <w:tcW w:w="1904" w:type="pct"/>
            <w:shd w:val="clear" w:color="auto" w:fill="auto"/>
            <w:vAlign w:val="center"/>
          </w:tcPr>
          <w:p w14:paraId="01044723"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Total revenue</w:t>
            </w:r>
          </w:p>
        </w:tc>
        <w:tc>
          <w:tcPr>
            <w:tcW w:w="1250" w:type="pct"/>
            <w:shd w:val="clear" w:color="auto" w:fill="auto"/>
            <w:vAlign w:val="center"/>
          </w:tcPr>
          <w:p w14:paraId="1C29BD91"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Billion VND</w:t>
            </w:r>
          </w:p>
        </w:tc>
        <w:tc>
          <w:tcPr>
            <w:tcW w:w="1250" w:type="pct"/>
            <w:shd w:val="clear" w:color="auto" w:fill="auto"/>
            <w:vAlign w:val="center"/>
          </w:tcPr>
          <w:p w14:paraId="085A31D5"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423</w:t>
            </w:r>
          </w:p>
        </w:tc>
      </w:tr>
      <w:tr w:rsidR="002F2C1A" w:rsidRPr="00E72B5C" w14:paraId="25BB26B3" w14:textId="77777777" w:rsidTr="00E72B5C">
        <w:tc>
          <w:tcPr>
            <w:tcW w:w="596" w:type="pct"/>
            <w:shd w:val="clear" w:color="auto" w:fill="auto"/>
            <w:vAlign w:val="center"/>
          </w:tcPr>
          <w:p w14:paraId="4C6602B8"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2</w:t>
            </w:r>
          </w:p>
        </w:tc>
        <w:tc>
          <w:tcPr>
            <w:tcW w:w="1904" w:type="pct"/>
            <w:shd w:val="clear" w:color="auto" w:fill="auto"/>
            <w:vAlign w:val="center"/>
          </w:tcPr>
          <w:p w14:paraId="00832DC5"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 xml:space="preserve">Total expense </w:t>
            </w:r>
          </w:p>
        </w:tc>
        <w:tc>
          <w:tcPr>
            <w:tcW w:w="1250" w:type="pct"/>
            <w:shd w:val="clear" w:color="auto" w:fill="auto"/>
            <w:vAlign w:val="center"/>
          </w:tcPr>
          <w:p w14:paraId="437F7CFD"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 xml:space="preserve">Billion VND </w:t>
            </w:r>
          </w:p>
        </w:tc>
        <w:tc>
          <w:tcPr>
            <w:tcW w:w="1250" w:type="pct"/>
            <w:shd w:val="clear" w:color="auto" w:fill="auto"/>
            <w:vAlign w:val="center"/>
          </w:tcPr>
          <w:p w14:paraId="0CEAC603"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223</w:t>
            </w:r>
          </w:p>
        </w:tc>
      </w:tr>
      <w:tr w:rsidR="002F2C1A" w:rsidRPr="00E72B5C" w14:paraId="6AE77A57" w14:textId="77777777" w:rsidTr="00E72B5C">
        <w:tc>
          <w:tcPr>
            <w:tcW w:w="596" w:type="pct"/>
            <w:shd w:val="clear" w:color="auto" w:fill="auto"/>
            <w:vAlign w:val="center"/>
          </w:tcPr>
          <w:p w14:paraId="17C8710E"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3</w:t>
            </w:r>
          </w:p>
        </w:tc>
        <w:tc>
          <w:tcPr>
            <w:tcW w:w="1904" w:type="pct"/>
            <w:shd w:val="clear" w:color="auto" w:fill="auto"/>
            <w:vAlign w:val="center"/>
          </w:tcPr>
          <w:p w14:paraId="7FA5D942"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Profit before tax</w:t>
            </w:r>
          </w:p>
        </w:tc>
        <w:tc>
          <w:tcPr>
            <w:tcW w:w="1250" w:type="pct"/>
            <w:shd w:val="clear" w:color="auto" w:fill="auto"/>
            <w:vAlign w:val="center"/>
          </w:tcPr>
          <w:p w14:paraId="188CBB81"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Billion VND</w:t>
            </w:r>
          </w:p>
        </w:tc>
        <w:tc>
          <w:tcPr>
            <w:tcW w:w="1250" w:type="pct"/>
            <w:shd w:val="clear" w:color="auto" w:fill="auto"/>
            <w:vAlign w:val="center"/>
          </w:tcPr>
          <w:p w14:paraId="6A020785"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200</w:t>
            </w:r>
          </w:p>
        </w:tc>
      </w:tr>
    </w:tbl>
    <w:p w14:paraId="4D4D5391" w14:textId="6BBEDB1C"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‎‎Article 6. Approve the selection of an independent audit company to audit the Financial Statements 2024.</w:t>
      </w:r>
    </w:p>
    <w:p w14:paraId="2A8BB42C" w14:textId="13E8A521"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‎‎Article 7. Approve the listing of shares at the Ho Chi Minh City Stock Exchange.</w:t>
      </w:r>
    </w:p>
    <w:p w14:paraId="4C8BD54C" w14:textId="5F13A273"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‎‎Article 8. Approve the Report on capital use of the charter capital increase in 2023.</w:t>
      </w:r>
    </w:p>
    <w:p w14:paraId="2B82B23B" w14:textId="46E01981"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1.</w:t>
      </w:r>
      <w:r w:rsidR="001A0781" w:rsidRPr="00E72B5C">
        <w:rPr>
          <w:rFonts w:ascii="Arial" w:hAnsi="Arial" w:cs="Arial"/>
          <w:color w:val="010000"/>
          <w:sz w:val="20"/>
        </w:rPr>
        <w:t xml:space="preserve"> </w:t>
      </w:r>
      <w:r w:rsidRPr="00E72B5C">
        <w:rPr>
          <w:rFonts w:ascii="Arial" w:hAnsi="Arial" w:cs="Arial"/>
          <w:color w:val="010000"/>
          <w:sz w:val="20"/>
        </w:rPr>
        <w:t>Results of charter capital increase in 2023:</w:t>
      </w:r>
    </w:p>
    <w:p w14:paraId="4FFC514E" w14:textId="77777777"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 Charter capital before capital increase: VND 1,000,000,000,000</w:t>
      </w:r>
    </w:p>
    <w:p w14:paraId="1DC80F4E" w14:textId="77777777"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 Charter capital after capital increase: VND 2,048,389,250,000</w:t>
      </w:r>
    </w:p>
    <w:p w14:paraId="1EFFE161" w14:textId="77777777"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 Total number of shares after capital increase: 204,838,925 shares</w:t>
      </w:r>
    </w:p>
    <w:p w14:paraId="59760900" w14:textId="77777777"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 Total proceeds after capital increase: VND 1,048,389,250,000. In which:</w:t>
      </w:r>
    </w:p>
    <w:tbl>
      <w:tblPr>
        <w:tblStyle w:val="a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799"/>
        <w:gridCol w:w="3212"/>
      </w:tblGrid>
      <w:tr w:rsidR="002F2C1A" w:rsidRPr="00E72B5C" w14:paraId="4736FD8A" w14:textId="77777777" w:rsidTr="00E72B5C">
        <w:tc>
          <w:tcPr>
            <w:tcW w:w="3218" w:type="pct"/>
            <w:shd w:val="clear" w:color="auto" w:fill="auto"/>
            <w:tcMar>
              <w:top w:w="0" w:type="dxa"/>
              <w:left w:w="100" w:type="dxa"/>
              <w:bottom w:w="0" w:type="dxa"/>
              <w:right w:w="100" w:type="dxa"/>
            </w:tcMar>
            <w:vAlign w:val="center"/>
          </w:tcPr>
          <w:p w14:paraId="204418C6" w14:textId="77777777"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Offering/Issuance</w:t>
            </w:r>
          </w:p>
        </w:tc>
        <w:tc>
          <w:tcPr>
            <w:tcW w:w="1782" w:type="pct"/>
            <w:shd w:val="clear" w:color="auto" w:fill="auto"/>
            <w:tcMar>
              <w:top w:w="0" w:type="dxa"/>
              <w:left w:w="100" w:type="dxa"/>
              <w:bottom w:w="0" w:type="dxa"/>
              <w:right w:w="100" w:type="dxa"/>
            </w:tcMar>
            <w:vAlign w:val="center"/>
          </w:tcPr>
          <w:p w14:paraId="6F771A40" w14:textId="77777777"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Amount</w:t>
            </w:r>
          </w:p>
        </w:tc>
      </w:tr>
      <w:tr w:rsidR="002F2C1A" w:rsidRPr="00E72B5C" w14:paraId="67D93AA0" w14:textId="77777777" w:rsidTr="00E72B5C">
        <w:tc>
          <w:tcPr>
            <w:tcW w:w="3218" w:type="pct"/>
            <w:shd w:val="clear" w:color="auto" w:fill="auto"/>
            <w:tcMar>
              <w:top w:w="0" w:type="dxa"/>
              <w:left w:w="100" w:type="dxa"/>
              <w:bottom w:w="0" w:type="dxa"/>
              <w:right w:w="100" w:type="dxa"/>
            </w:tcMar>
            <w:vAlign w:val="center"/>
          </w:tcPr>
          <w:p w14:paraId="23A96D61" w14:textId="77777777"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Proceeds from the issuance of share purchase rights to existing shareholders to increase charter capital from VND 1,000 billion to VND 2,000 billion</w:t>
            </w:r>
          </w:p>
        </w:tc>
        <w:tc>
          <w:tcPr>
            <w:tcW w:w="1782" w:type="pct"/>
            <w:shd w:val="clear" w:color="auto" w:fill="auto"/>
            <w:tcMar>
              <w:top w:w="0" w:type="dxa"/>
              <w:left w:w="100" w:type="dxa"/>
              <w:bottom w:w="0" w:type="dxa"/>
              <w:right w:w="100" w:type="dxa"/>
            </w:tcMar>
            <w:vAlign w:val="center"/>
          </w:tcPr>
          <w:p w14:paraId="35D5D856" w14:textId="77777777"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VND 999,552,250,000</w:t>
            </w:r>
          </w:p>
        </w:tc>
      </w:tr>
      <w:tr w:rsidR="002F2C1A" w:rsidRPr="00E72B5C" w14:paraId="3F41DC04" w14:textId="77777777" w:rsidTr="00E72B5C">
        <w:tc>
          <w:tcPr>
            <w:tcW w:w="3218" w:type="pct"/>
            <w:shd w:val="clear" w:color="auto" w:fill="auto"/>
            <w:tcMar>
              <w:top w:w="0" w:type="dxa"/>
              <w:left w:w="100" w:type="dxa"/>
              <w:bottom w:w="0" w:type="dxa"/>
              <w:right w:w="100" w:type="dxa"/>
            </w:tcMar>
            <w:vAlign w:val="center"/>
          </w:tcPr>
          <w:p w14:paraId="13AAEEBC" w14:textId="77777777"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Proceeds from the issuance of shares under the ESOP</w:t>
            </w:r>
          </w:p>
        </w:tc>
        <w:tc>
          <w:tcPr>
            <w:tcW w:w="1782" w:type="pct"/>
            <w:shd w:val="clear" w:color="auto" w:fill="auto"/>
            <w:tcMar>
              <w:top w:w="0" w:type="dxa"/>
              <w:left w:w="100" w:type="dxa"/>
              <w:bottom w:w="0" w:type="dxa"/>
              <w:right w:w="100" w:type="dxa"/>
            </w:tcMar>
            <w:vAlign w:val="center"/>
          </w:tcPr>
          <w:p w14:paraId="1F955746" w14:textId="77777777"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VND 48,837,000,000</w:t>
            </w:r>
          </w:p>
        </w:tc>
      </w:tr>
    </w:tbl>
    <w:p w14:paraId="5CA25926" w14:textId="797A4010"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2.</w:t>
      </w:r>
      <w:r w:rsidR="001A0781" w:rsidRPr="00E72B5C">
        <w:rPr>
          <w:rFonts w:ascii="Arial" w:hAnsi="Arial" w:cs="Arial"/>
          <w:color w:val="010000"/>
          <w:sz w:val="20"/>
        </w:rPr>
        <w:t xml:space="preserve"> </w:t>
      </w:r>
      <w:r w:rsidRPr="00E72B5C">
        <w:rPr>
          <w:rFonts w:ascii="Arial" w:hAnsi="Arial" w:cs="Arial"/>
          <w:color w:val="010000"/>
          <w:sz w:val="20"/>
        </w:rPr>
        <w:t>Report on the actual use of proceeds from the increase in charter capital from VND 1,000 billion to VND 2,048 billion as follows:</w:t>
      </w:r>
    </w:p>
    <w:p w14:paraId="5B42DC85" w14:textId="77777777"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By December 31, 2023, the Company has used the proceeds from charter capital increases from VND 1,000 billion to VND 2,048 billion to serve the Company's business activities according to the Capital Use Plan approved by the General Meeting of Shareholders at:</w:t>
      </w:r>
    </w:p>
    <w:p w14:paraId="2F12D2BA" w14:textId="77777777"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 General Mandates: (1) General Mandate No. 02/2022/NQ-DHDCD/DSC dated December 12, 2022 (2) General Mandate No. 01/2023/NQ-DHDCD/DSC dated March 31, 2023.</w:t>
      </w:r>
    </w:p>
    <w:p w14:paraId="002AFF71" w14:textId="77777777"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 Board Resolutions: (1) Board Resolution No. 03/2023/NQ-HDQT/DSC dated January 12, 2023 (2) Board Resolution No. 06/2023/NQ-HDQT/DSC dated February 20, 2023.</w:t>
      </w:r>
    </w:p>
    <w:p w14:paraId="0C964BAD" w14:textId="77777777"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Specifically, the status of using the proceeds from the increase in charter capital from VND 1,000 billion to VND 2,048 billion is shown in detail as follows:</w:t>
      </w:r>
    </w:p>
    <w:tbl>
      <w:tblPr>
        <w:tblStyle w:val="a3"/>
        <w:tblW w:w="5000" w:type="pct"/>
        <w:tblBorders>
          <w:top w:val="nil"/>
          <w:left w:val="nil"/>
          <w:bottom w:val="nil"/>
          <w:right w:val="nil"/>
          <w:insideH w:val="nil"/>
          <w:insideV w:val="nil"/>
        </w:tblBorders>
        <w:tblLook w:val="0600" w:firstRow="0" w:lastRow="0" w:firstColumn="0" w:lastColumn="0" w:noHBand="1" w:noVBand="1"/>
      </w:tblPr>
      <w:tblGrid>
        <w:gridCol w:w="1944"/>
        <w:gridCol w:w="1557"/>
        <w:gridCol w:w="1074"/>
        <w:gridCol w:w="1543"/>
        <w:gridCol w:w="1440"/>
        <w:gridCol w:w="1453"/>
      </w:tblGrid>
      <w:tr w:rsidR="007D0767" w:rsidRPr="00E72B5C" w14:paraId="06CE6446" w14:textId="77777777" w:rsidTr="00E72B5C">
        <w:tc>
          <w:tcPr>
            <w:tcW w:w="1079" w:type="pct"/>
            <w:vMerge w:val="restart"/>
            <w:tcBorders>
              <w:top w:val="single" w:sz="6" w:space="0" w:color="000000"/>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7CE1D31C" w14:textId="77777777" w:rsidR="007D0767"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Allocation of use</w:t>
            </w:r>
          </w:p>
        </w:tc>
        <w:tc>
          <w:tcPr>
            <w:tcW w:w="1460" w:type="pct"/>
            <w:gridSpan w:val="2"/>
            <w:tcBorders>
              <w:top w:val="single" w:sz="6" w:space="0" w:color="000000"/>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7E6CC847" w14:textId="77777777" w:rsidR="007D0767"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Approved plan</w:t>
            </w:r>
          </w:p>
        </w:tc>
        <w:tc>
          <w:tcPr>
            <w:tcW w:w="2461" w:type="pct"/>
            <w:gridSpan w:val="3"/>
            <w:tcBorders>
              <w:top w:val="single" w:sz="6" w:space="0" w:color="000000"/>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2E4C4B19" w14:textId="77777777" w:rsidR="007D0767"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Actual use</w:t>
            </w:r>
          </w:p>
        </w:tc>
      </w:tr>
      <w:tr w:rsidR="005C0C18" w:rsidRPr="00E72B5C" w14:paraId="7BED23D3" w14:textId="77777777" w:rsidTr="00E72B5C">
        <w:tc>
          <w:tcPr>
            <w:tcW w:w="1079" w:type="pct"/>
            <w:vMerge/>
            <w:tcBorders>
              <w:top w:val="single" w:sz="5" w:space="0" w:color="000000"/>
              <w:left w:val="single" w:sz="6" w:space="0" w:color="000000"/>
              <w:bottom w:val="single" w:sz="5" w:space="0" w:color="000000"/>
              <w:right w:val="single" w:sz="6" w:space="0" w:color="000000"/>
            </w:tcBorders>
            <w:shd w:val="clear" w:color="auto" w:fill="auto"/>
            <w:tcMar>
              <w:top w:w="100" w:type="dxa"/>
              <w:left w:w="100" w:type="dxa"/>
              <w:bottom w:w="100" w:type="dxa"/>
              <w:right w:w="100" w:type="dxa"/>
            </w:tcMar>
            <w:vAlign w:val="center"/>
          </w:tcPr>
          <w:p w14:paraId="36E9970A" w14:textId="77777777" w:rsidR="007D0767" w:rsidRPr="00E72B5C" w:rsidRDefault="007D0767" w:rsidP="00E72B5C">
            <w:pPr>
              <w:tabs>
                <w:tab w:val="left" w:pos="432"/>
              </w:tabs>
              <w:spacing w:after="120" w:line="360" w:lineRule="auto"/>
              <w:rPr>
                <w:rFonts w:ascii="Arial" w:eastAsia="Arial" w:hAnsi="Arial" w:cs="Arial"/>
                <w:color w:val="010000"/>
                <w:sz w:val="20"/>
                <w:szCs w:val="20"/>
              </w:rPr>
            </w:pPr>
          </w:p>
        </w:tc>
        <w:tc>
          <w:tcPr>
            <w:tcW w:w="864"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3A542AA8" w14:textId="77777777" w:rsidR="007D0767"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 xml:space="preserve">Expected amount to be </w:t>
            </w:r>
            <w:r w:rsidRPr="00E72B5C">
              <w:rPr>
                <w:rFonts w:ascii="Arial" w:hAnsi="Arial" w:cs="Arial"/>
                <w:color w:val="010000"/>
                <w:sz w:val="20"/>
              </w:rPr>
              <w:lastRenderedPageBreak/>
              <w:t>used</w:t>
            </w:r>
          </w:p>
        </w:tc>
        <w:tc>
          <w:tcPr>
            <w:tcW w:w="596"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49F54892" w14:textId="77777777" w:rsidR="007D0767"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lastRenderedPageBreak/>
              <w:t xml:space="preserve">Expected </w:t>
            </w:r>
            <w:r w:rsidRPr="00E72B5C">
              <w:rPr>
                <w:rFonts w:ascii="Arial" w:hAnsi="Arial" w:cs="Arial"/>
                <w:color w:val="010000"/>
                <w:sz w:val="20"/>
              </w:rPr>
              <w:lastRenderedPageBreak/>
              <w:t>use time</w:t>
            </w:r>
          </w:p>
        </w:tc>
        <w:tc>
          <w:tcPr>
            <w:tcW w:w="856"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61EDE533" w14:textId="77777777" w:rsidR="007D0767"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lastRenderedPageBreak/>
              <w:t>Used amount</w:t>
            </w:r>
          </w:p>
        </w:tc>
        <w:tc>
          <w:tcPr>
            <w:tcW w:w="799"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7E7EBF66" w14:textId="77777777" w:rsidR="007D0767"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 xml:space="preserve">Rate compared to total </w:t>
            </w:r>
            <w:r w:rsidRPr="00E72B5C">
              <w:rPr>
                <w:rFonts w:ascii="Arial" w:hAnsi="Arial" w:cs="Arial"/>
                <w:color w:val="010000"/>
                <w:sz w:val="20"/>
              </w:rPr>
              <w:lastRenderedPageBreak/>
              <w:t>proceeds from the offering (%)</w:t>
            </w:r>
          </w:p>
        </w:tc>
        <w:tc>
          <w:tcPr>
            <w:tcW w:w="806"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5F819F25" w14:textId="77777777" w:rsidR="007D0767"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lastRenderedPageBreak/>
              <w:t>Use time</w:t>
            </w:r>
          </w:p>
        </w:tc>
      </w:tr>
      <w:tr w:rsidR="005C0C18" w:rsidRPr="00E72B5C" w14:paraId="2195638F" w14:textId="77777777" w:rsidTr="00E72B5C">
        <w:tc>
          <w:tcPr>
            <w:tcW w:w="1079"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53845567" w14:textId="77777777" w:rsidR="007D0767"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lastRenderedPageBreak/>
              <w:t>Supplement capital for lending activities for margin trading</w:t>
            </w:r>
          </w:p>
        </w:tc>
        <w:tc>
          <w:tcPr>
            <w:tcW w:w="864"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16CD4516" w14:textId="6F28330B"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49% of total proceeds from the offering</w:t>
            </w:r>
          </w:p>
        </w:tc>
        <w:tc>
          <w:tcPr>
            <w:tcW w:w="596"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5BE00959" w14:textId="7777777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In 2023</w:t>
            </w:r>
          </w:p>
        </w:tc>
        <w:tc>
          <w:tcPr>
            <w:tcW w:w="856"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3CD3898D" w14:textId="7777777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694,232,250,000</w:t>
            </w:r>
          </w:p>
          <w:p w14:paraId="1A50C77B" w14:textId="7777777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w:t>
            </w:r>
          </w:p>
        </w:tc>
        <w:tc>
          <w:tcPr>
            <w:tcW w:w="799"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28018AAF" w14:textId="7777777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66.2%</w:t>
            </w:r>
          </w:p>
        </w:tc>
        <w:tc>
          <w:tcPr>
            <w:tcW w:w="806"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43807FFD" w14:textId="1996999C"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From July 31, 2023 to August 11, 2023</w:t>
            </w:r>
          </w:p>
        </w:tc>
      </w:tr>
      <w:tr w:rsidR="005C0C18" w:rsidRPr="00E72B5C" w14:paraId="611E96D7" w14:textId="77777777" w:rsidTr="00E72B5C">
        <w:tc>
          <w:tcPr>
            <w:tcW w:w="1079"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7B191919" w14:textId="77777777" w:rsidR="007D0767"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Supplement capital for proprietary trading investment</w:t>
            </w:r>
          </w:p>
        </w:tc>
        <w:tc>
          <w:tcPr>
            <w:tcW w:w="864"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3E5DEC8C" w14:textId="00DB1102"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49.5% of the total</w:t>
            </w:r>
            <w:r w:rsidR="001A0781" w:rsidRPr="00E72B5C">
              <w:rPr>
                <w:rFonts w:ascii="Arial" w:hAnsi="Arial" w:cs="Arial"/>
                <w:color w:val="010000"/>
                <w:sz w:val="20"/>
              </w:rPr>
              <w:t xml:space="preserve"> p</w:t>
            </w:r>
            <w:r w:rsidRPr="00E72B5C">
              <w:rPr>
                <w:rFonts w:ascii="Arial" w:hAnsi="Arial" w:cs="Arial"/>
                <w:color w:val="010000"/>
                <w:sz w:val="20"/>
              </w:rPr>
              <w:t>roceeds from the offering</w:t>
            </w:r>
          </w:p>
        </w:tc>
        <w:tc>
          <w:tcPr>
            <w:tcW w:w="596"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34488F6D" w14:textId="7777777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In 2023</w:t>
            </w:r>
          </w:p>
        </w:tc>
        <w:tc>
          <w:tcPr>
            <w:tcW w:w="856"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17824847" w14:textId="2E8651A6"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3,600,000,000 (</w:t>
            </w:r>
            <w:r w:rsidR="001A0781" w:rsidRPr="00E72B5C">
              <w:rPr>
                <w:rFonts w:ascii="Arial" w:hAnsi="Arial" w:cs="Arial"/>
                <w:color w:val="010000"/>
                <w:sz w:val="20"/>
              </w:rPr>
              <w:t>*</w:t>
            </w:r>
            <w:r w:rsidRPr="00E72B5C">
              <w:rPr>
                <w:rFonts w:ascii="Arial" w:hAnsi="Arial" w:cs="Arial"/>
                <w:color w:val="010000"/>
                <w:sz w:val="20"/>
              </w:rPr>
              <w:t>)</w:t>
            </w:r>
          </w:p>
        </w:tc>
        <w:tc>
          <w:tcPr>
            <w:tcW w:w="799"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7C1B93A5" w14:textId="7777777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0.3%</w:t>
            </w:r>
          </w:p>
        </w:tc>
        <w:tc>
          <w:tcPr>
            <w:tcW w:w="806"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48FC2890" w14:textId="52560582"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From August 4 - August 8, 2023</w:t>
            </w:r>
          </w:p>
        </w:tc>
      </w:tr>
      <w:tr w:rsidR="005C0C18" w:rsidRPr="00E72B5C" w14:paraId="37AEDDF1" w14:textId="77777777" w:rsidTr="00E72B5C">
        <w:tc>
          <w:tcPr>
            <w:tcW w:w="1079"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6D8DA12D" w14:textId="77777777" w:rsidR="007D0767"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Supplement capital to improve the financial capacity of the Company to carry out issue underwriting contracts</w:t>
            </w:r>
          </w:p>
        </w:tc>
        <w:tc>
          <w:tcPr>
            <w:tcW w:w="864"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6D6D2AD7" w14:textId="743B2B79"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1% of total proceeds from the offering</w:t>
            </w:r>
          </w:p>
        </w:tc>
        <w:tc>
          <w:tcPr>
            <w:tcW w:w="596"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10115EBD" w14:textId="7777777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In 2023</w:t>
            </w:r>
          </w:p>
        </w:tc>
        <w:tc>
          <w:tcPr>
            <w:tcW w:w="856"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056C2A0B" w14:textId="7777777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0</w:t>
            </w:r>
          </w:p>
        </w:tc>
        <w:tc>
          <w:tcPr>
            <w:tcW w:w="799"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21959003" w14:textId="7777777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0%</w:t>
            </w:r>
          </w:p>
        </w:tc>
        <w:tc>
          <w:tcPr>
            <w:tcW w:w="806"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01C2766B" w14:textId="79860225"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p>
        </w:tc>
      </w:tr>
      <w:tr w:rsidR="005C0C18" w:rsidRPr="00E72B5C" w14:paraId="519CE7FD" w14:textId="77777777" w:rsidTr="00E72B5C">
        <w:tc>
          <w:tcPr>
            <w:tcW w:w="1079"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4A854B08" w14:textId="77777777" w:rsidR="007D0767"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Supplement capital for providing services/performing transactions related to derivatives, covered warrants</w:t>
            </w:r>
          </w:p>
        </w:tc>
        <w:tc>
          <w:tcPr>
            <w:tcW w:w="864"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769C3BA2" w14:textId="1CFFBDB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0.3% of total proceeds from the offering</w:t>
            </w:r>
          </w:p>
        </w:tc>
        <w:tc>
          <w:tcPr>
            <w:tcW w:w="596"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62A8ABDD" w14:textId="7777777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In 2023</w:t>
            </w:r>
          </w:p>
        </w:tc>
        <w:tc>
          <w:tcPr>
            <w:tcW w:w="856"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7BD61A6B" w14:textId="7777777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0</w:t>
            </w:r>
          </w:p>
        </w:tc>
        <w:tc>
          <w:tcPr>
            <w:tcW w:w="799"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5FC0729B" w14:textId="7777777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0%</w:t>
            </w:r>
          </w:p>
        </w:tc>
        <w:tc>
          <w:tcPr>
            <w:tcW w:w="806"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74F98856" w14:textId="250D4652"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p>
        </w:tc>
      </w:tr>
      <w:tr w:rsidR="005C0C18" w:rsidRPr="00E72B5C" w14:paraId="3E472EDB" w14:textId="77777777" w:rsidTr="00E72B5C">
        <w:tc>
          <w:tcPr>
            <w:tcW w:w="1079"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B7CBDAA" w14:textId="77777777" w:rsidR="007D0767"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Supplement capital for other legal activities of the Company</w:t>
            </w:r>
          </w:p>
        </w:tc>
        <w:tc>
          <w:tcPr>
            <w:tcW w:w="864"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B84D3B0" w14:textId="7777777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0.2% of total proceeds from the offering</w:t>
            </w:r>
          </w:p>
        </w:tc>
        <w:tc>
          <w:tcPr>
            <w:tcW w:w="596"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1B9D1DE" w14:textId="7777777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In 2023</w:t>
            </w:r>
          </w:p>
        </w:tc>
        <w:tc>
          <w:tcPr>
            <w:tcW w:w="856"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0B4FDB4" w14:textId="7777777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350,557,000,000 (***)</w:t>
            </w:r>
          </w:p>
        </w:tc>
        <w:tc>
          <w:tcPr>
            <w:tcW w:w="799"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A75A3E2" w14:textId="7777777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33.4%</w:t>
            </w:r>
          </w:p>
        </w:tc>
        <w:tc>
          <w:tcPr>
            <w:tcW w:w="806"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E1CBF23" w14:textId="77777777" w:rsidR="007D0767" w:rsidRPr="00E72B5C" w:rsidRDefault="007D0767" w:rsidP="00E72B5C">
            <w:pPr>
              <w:tabs>
                <w:tab w:val="left" w:pos="432"/>
              </w:tabs>
              <w:spacing w:after="120" w:line="360" w:lineRule="auto"/>
              <w:jc w:val="center"/>
              <w:rPr>
                <w:rFonts w:ascii="Arial" w:eastAsia="Arial" w:hAnsi="Arial" w:cs="Arial"/>
                <w:color w:val="010000"/>
                <w:sz w:val="20"/>
                <w:szCs w:val="20"/>
              </w:rPr>
            </w:pPr>
            <w:r w:rsidRPr="00E72B5C">
              <w:rPr>
                <w:rFonts w:ascii="Arial" w:hAnsi="Arial" w:cs="Arial"/>
                <w:color w:val="010000"/>
                <w:sz w:val="20"/>
              </w:rPr>
              <w:t xml:space="preserve">Repayment of loans from BIDV Bank - East Hanoi Branch and </w:t>
            </w:r>
            <w:proofErr w:type="spellStart"/>
            <w:r w:rsidRPr="00E72B5C">
              <w:rPr>
                <w:rFonts w:ascii="Arial" w:hAnsi="Arial" w:cs="Arial"/>
                <w:color w:val="010000"/>
                <w:sz w:val="20"/>
              </w:rPr>
              <w:t>Vietcombank</w:t>
            </w:r>
            <w:proofErr w:type="spellEnd"/>
          </w:p>
        </w:tc>
      </w:tr>
    </w:tbl>
    <w:p w14:paraId="4BDD4CF1" w14:textId="77777777"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 As of December 31, 2023, the disbursement amount for margin loans and advances for securities sales to Customers is VND 432,878,226,659, equivalent to 41% of the total proceeds from the offering.</w:t>
      </w:r>
    </w:p>
    <w:p w14:paraId="03DD9B09" w14:textId="77777777"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 As of December 31, 2023, the amount of money used for proprietary securities trading investment is VND 114,521,773,341, equivalent to 11% of the total proceeds from the offering.</w:t>
      </w:r>
    </w:p>
    <w:p w14:paraId="679167CE" w14:textId="390DA9B8"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 Repayment of loans from the following joint stock commercial banks (1) BIDV – East Hanoi Branch on July 18, 2023: VND 48,847,000,000</w:t>
      </w:r>
      <w:r w:rsidR="00DB72F7" w:rsidRPr="00E72B5C">
        <w:rPr>
          <w:rFonts w:ascii="Arial" w:hAnsi="Arial" w:cs="Arial"/>
          <w:color w:val="010000"/>
          <w:sz w:val="20"/>
        </w:rPr>
        <w:t xml:space="preserve"> </w:t>
      </w:r>
      <w:r w:rsidRPr="00E72B5C">
        <w:rPr>
          <w:rFonts w:ascii="Arial" w:hAnsi="Arial" w:cs="Arial"/>
          <w:color w:val="010000"/>
          <w:sz w:val="20"/>
        </w:rPr>
        <w:t xml:space="preserve">(2) BIDV – East Hanoi Branch on July 28, 2023: VND 175,700,000,000 (3) </w:t>
      </w:r>
      <w:proofErr w:type="spellStart"/>
      <w:r w:rsidRPr="00E72B5C">
        <w:rPr>
          <w:rFonts w:ascii="Arial" w:hAnsi="Arial" w:cs="Arial"/>
          <w:color w:val="010000"/>
          <w:sz w:val="20"/>
        </w:rPr>
        <w:t>Vietcombank</w:t>
      </w:r>
      <w:proofErr w:type="spellEnd"/>
      <w:r w:rsidRPr="00E72B5C">
        <w:rPr>
          <w:rFonts w:ascii="Arial" w:hAnsi="Arial" w:cs="Arial"/>
          <w:color w:val="010000"/>
          <w:sz w:val="20"/>
        </w:rPr>
        <w:t>: VND 126,000,000,000</w:t>
      </w:r>
    </w:p>
    <w:p w14:paraId="50484B3D" w14:textId="77777777" w:rsidR="002F2C1A" w:rsidRPr="00E72B5C" w:rsidRDefault="007D0767" w:rsidP="00E72B5C">
      <w:pP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 xml:space="preserve">In addition, while the amount expected to be allocated according to the approved Capital Use Plan </w:t>
      </w:r>
      <w:r w:rsidRPr="00E72B5C">
        <w:rPr>
          <w:rFonts w:ascii="Arial" w:hAnsi="Arial" w:cs="Arial"/>
          <w:color w:val="010000"/>
          <w:sz w:val="20"/>
        </w:rPr>
        <w:lastRenderedPageBreak/>
        <w:t>has not been used up, the Company has converted the amount of VND 200,000,000,000 into deposit according to deposit contracts, specifically: (1) Deposit contract No. 128/2023/37379 with value of VND 100,000,000 and (2) Deposit contract No. 128/2023/27409 dated November 10, 2023 with value of VND 100,000,000 to optimize capital efficiency and improve financial capacity for other activities of the Company.</w:t>
      </w:r>
    </w:p>
    <w:p w14:paraId="111CAEFB" w14:textId="4BC882BB"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‎‎Article 9. Approve amendments to the Company's Charter.</w:t>
      </w:r>
    </w:p>
    <w:p w14:paraId="1471810B" w14:textId="76C1075D"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 xml:space="preserve">‎‎Article 10. Approve amendments to the Company's Internal Governance Regulations, Operational Regulations of the Board of Directors, </w:t>
      </w:r>
      <w:r w:rsidR="00B41A04" w:rsidRPr="00E72B5C">
        <w:rPr>
          <w:rFonts w:ascii="Arial" w:hAnsi="Arial" w:cs="Arial"/>
          <w:color w:val="010000"/>
          <w:sz w:val="20"/>
        </w:rPr>
        <w:t xml:space="preserve">the </w:t>
      </w:r>
      <w:r w:rsidRPr="00E72B5C">
        <w:rPr>
          <w:rFonts w:ascii="Arial" w:hAnsi="Arial" w:cs="Arial"/>
          <w:color w:val="010000"/>
          <w:sz w:val="20"/>
        </w:rPr>
        <w:t>Board of Management, and the Supervisory Board.</w:t>
      </w:r>
    </w:p>
    <w:p w14:paraId="61704844" w14:textId="77777777" w:rsidR="002F2C1A" w:rsidRPr="00E72B5C" w:rsidRDefault="007D0767" w:rsidP="00E72B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72B5C">
        <w:rPr>
          <w:rFonts w:ascii="Arial" w:hAnsi="Arial" w:cs="Arial"/>
          <w:color w:val="010000"/>
          <w:sz w:val="20"/>
        </w:rPr>
        <w:t>‎‎Article 11. Terms of enforcement</w:t>
      </w:r>
    </w:p>
    <w:p w14:paraId="2B9142EA" w14:textId="77777777" w:rsidR="002F2C1A" w:rsidRPr="00E72B5C" w:rsidRDefault="007D0767" w:rsidP="00E72B5C">
      <w:pPr>
        <w:numPr>
          <w:ilvl w:val="0"/>
          <w:numId w:val="4"/>
        </w:numPr>
        <w:pBdr>
          <w:top w:val="nil"/>
          <w:left w:val="nil"/>
          <w:bottom w:val="nil"/>
          <w:right w:val="nil"/>
          <w:between w:val="nil"/>
        </w:pBdr>
        <w:tabs>
          <w:tab w:val="left" w:pos="432"/>
          <w:tab w:val="left" w:pos="929"/>
        </w:tabs>
        <w:spacing w:after="120" w:line="360" w:lineRule="auto"/>
        <w:rPr>
          <w:rFonts w:ascii="Arial" w:eastAsia="Arial" w:hAnsi="Arial" w:cs="Arial"/>
          <w:color w:val="010000"/>
          <w:sz w:val="20"/>
          <w:szCs w:val="20"/>
        </w:rPr>
      </w:pPr>
      <w:r w:rsidRPr="00E72B5C">
        <w:rPr>
          <w:rFonts w:ascii="Arial" w:hAnsi="Arial" w:cs="Arial"/>
          <w:color w:val="010000"/>
          <w:sz w:val="20"/>
        </w:rPr>
        <w:t>The Company's Annual General Mandate 2024 was unanimously approved in full by the General Meeting at the meeting and takes effect from March 25, 2024.</w:t>
      </w:r>
    </w:p>
    <w:p w14:paraId="7EC0E3DF" w14:textId="77777777" w:rsidR="002F2C1A" w:rsidRPr="00E72B5C" w:rsidRDefault="007D0767" w:rsidP="00E72B5C">
      <w:pPr>
        <w:numPr>
          <w:ilvl w:val="0"/>
          <w:numId w:val="4"/>
        </w:numPr>
        <w:pBdr>
          <w:top w:val="nil"/>
          <w:left w:val="nil"/>
          <w:bottom w:val="nil"/>
          <w:right w:val="nil"/>
          <w:between w:val="nil"/>
        </w:pBdr>
        <w:tabs>
          <w:tab w:val="left" w:pos="432"/>
          <w:tab w:val="left" w:pos="929"/>
        </w:tabs>
        <w:spacing w:after="120" w:line="360" w:lineRule="auto"/>
        <w:rPr>
          <w:rFonts w:ascii="Arial" w:eastAsia="Arial" w:hAnsi="Arial" w:cs="Arial"/>
          <w:color w:val="010000"/>
          <w:sz w:val="20"/>
          <w:szCs w:val="20"/>
        </w:rPr>
      </w:pPr>
      <w:r w:rsidRPr="00E72B5C">
        <w:rPr>
          <w:rFonts w:ascii="Arial" w:hAnsi="Arial" w:cs="Arial"/>
          <w:color w:val="010000"/>
          <w:sz w:val="20"/>
        </w:rPr>
        <w:t>All shareholders, members of the Board of Directors, the Supervisory Board, the Board of Management of DSC Securities Corporation and relevant departments and individuals are responsible for implementing this General Mandate.</w:t>
      </w:r>
    </w:p>
    <w:sectPr w:rsidR="002F2C1A" w:rsidRPr="00E72B5C" w:rsidSect="00E72B5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F1F"/>
    <w:multiLevelType w:val="multilevel"/>
    <w:tmpl w:val="456833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33A3ADD"/>
    <w:multiLevelType w:val="multilevel"/>
    <w:tmpl w:val="C57A84DE"/>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D619B4"/>
    <w:multiLevelType w:val="multilevel"/>
    <w:tmpl w:val="71728FFA"/>
    <w:lvl w:ilvl="0">
      <w:start w:val="1"/>
      <w:numFmt w:val="decimal"/>
      <w:lvlText w:val="%1."/>
      <w:lvlJc w:val="left"/>
      <w:pPr>
        <w:ind w:left="0" w:firstLine="0"/>
      </w:pPr>
      <w:rPr>
        <w:rFonts w:ascii="Arial" w:eastAsia="Arial" w:hAnsi="Arial" w:cs="Arial"/>
        <w:b w:val="0"/>
        <w:i w:val="0"/>
        <w:smallCaps w:val="0"/>
        <w:strike w:val="0"/>
        <w:color w:val="492934"/>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D3C2E13"/>
    <w:multiLevelType w:val="multilevel"/>
    <w:tmpl w:val="2B7C95C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1A"/>
    <w:rsid w:val="001A0781"/>
    <w:rsid w:val="00212A86"/>
    <w:rsid w:val="002F2C1A"/>
    <w:rsid w:val="003C1C25"/>
    <w:rsid w:val="005C0C18"/>
    <w:rsid w:val="007D0767"/>
    <w:rsid w:val="00B41A04"/>
    <w:rsid w:val="00D13EE2"/>
    <w:rsid w:val="00D86363"/>
    <w:rsid w:val="00DB72F7"/>
    <w:rsid w:val="00DD5745"/>
    <w:rsid w:val="00E72B5C"/>
    <w:rsid w:val="00EB46E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00FC0"/>
  <w15:docId w15:val="{06D0B360-B122-4ADE-AADD-6EEC8722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Verdana" w:eastAsia="Verdana" w:hAnsi="Verdana" w:cs="Verdana"/>
      <w:b w:val="0"/>
      <w:bCs w:val="0"/>
      <w:i w:val="0"/>
      <w:iCs w:val="0"/>
      <w:smallCaps w:val="0"/>
      <w:strike w:val="0"/>
      <w:color w:val="9B324C"/>
      <w:sz w:val="17"/>
      <w:szCs w:val="17"/>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strike w:val="0"/>
      <w:color w:val="D9355C"/>
      <w:sz w:val="20"/>
      <w:szCs w:val="20"/>
      <w:u w:val="none"/>
      <w:shd w:val="clear" w:color="auto" w:fill="FFFFFF"/>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9B324C"/>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90" w:lineRule="auto"/>
    </w:pPr>
    <w:rPr>
      <w:rFonts w:ascii="Times New Roman" w:eastAsia="Times New Roman" w:hAnsi="Times New Roman" w:cs="Times New Roman"/>
    </w:rPr>
  </w:style>
  <w:style w:type="paragraph" w:customStyle="1" w:styleId="Vnbnnidung20">
    <w:name w:val="Văn bản nội dung (2)"/>
    <w:basedOn w:val="Normal"/>
    <w:link w:val="Vnbnnidung2"/>
    <w:pPr>
      <w:jc w:val="center"/>
    </w:pPr>
    <w:rPr>
      <w:rFonts w:ascii="Arial" w:eastAsia="Arial" w:hAnsi="Arial" w:cs="Arial"/>
      <w:sz w:val="15"/>
      <w:szCs w:val="15"/>
    </w:rPr>
  </w:style>
  <w:style w:type="paragraph" w:customStyle="1" w:styleId="Tiu10">
    <w:name w:val="Tiêu đề #1"/>
    <w:basedOn w:val="Normal"/>
    <w:link w:val="Tiu1"/>
    <w:pPr>
      <w:jc w:val="center"/>
      <w:outlineLvl w:val="0"/>
    </w:pPr>
    <w:rPr>
      <w:rFonts w:ascii="Times New Roman" w:eastAsia="Times New Roman" w:hAnsi="Times New Roman" w:cs="Times New Roman"/>
      <w:sz w:val="30"/>
      <w:szCs w:val="30"/>
    </w:rPr>
  </w:style>
  <w:style w:type="paragraph" w:customStyle="1" w:styleId="Tiu20">
    <w:name w:val="Tiêu đề #2"/>
    <w:basedOn w:val="Normal"/>
    <w:link w:val="Tiu2"/>
    <w:pPr>
      <w:ind w:left="560"/>
      <w:outlineLvl w:val="1"/>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83" w:lineRule="auto"/>
    </w:pPr>
    <w:rPr>
      <w:rFonts w:ascii="Verdana" w:eastAsia="Verdana" w:hAnsi="Verdana" w:cs="Verdana"/>
      <w:color w:val="9B324C"/>
      <w:sz w:val="17"/>
      <w:szCs w:val="17"/>
    </w:rPr>
  </w:style>
  <w:style w:type="paragraph" w:customStyle="1" w:styleId="Vnbnnidung50">
    <w:name w:val="Văn bản nội dung (5)"/>
    <w:basedOn w:val="Normal"/>
    <w:link w:val="Vnbnnidung5"/>
    <w:pPr>
      <w:spacing w:line="298" w:lineRule="auto"/>
    </w:pPr>
    <w:rPr>
      <w:rFonts w:ascii="Times New Roman" w:eastAsia="Times New Roman" w:hAnsi="Times New Roman" w:cs="Times New Roman"/>
      <w:smallCaps/>
      <w:color w:val="D9355C"/>
      <w:sz w:val="20"/>
      <w:szCs w:val="20"/>
      <w:shd w:val="clear" w:color="auto" w:fill="FFFFFF"/>
    </w:rPr>
  </w:style>
  <w:style w:type="paragraph" w:customStyle="1" w:styleId="Vnbnnidung40">
    <w:name w:val="Văn bản nội dung (4)"/>
    <w:basedOn w:val="Normal"/>
    <w:link w:val="Vnbnnidung4"/>
    <w:pPr>
      <w:spacing w:line="216" w:lineRule="auto"/>
      <w:ind w:firstLine="280"/>
    </w:pPr>
    <w:rPr>
      <w:rFonts w:ascii="Times New Roman" w:eastAsia="Times New Roman" w:hAnsi="Times New Roman" w:cs="Times New Roman"/>
      <w:color w:val="9B324C"/>
      <w:sz w:val="30"/>
      <w:szCs w:val="30"/>
    </w:rPr>
  </w:style>
  <w:style w:type="paragraph" w:customStyle="1" w:styleId="Chthchbng0">
    <w:name w:val="Chú thích bảng"/>
    <w:basedOn w:val="Normal"/>
    <w:link w:val="Chthchbng"/>
    <w:pPr>
      <w:spacing w:line="290" w:lineRule="auto"/>
    </w:pPr>
    <w:rPr>
      <w:rFonts w:ascii="Times New Roman" w:eastAsia="Times New Roman" w:hAnsi="Times New Roman" w:cs="Times New Roman"/>
    </w:rPr>
  </w:style>
  <w:style w:type="paragraph" w:customStyle="1" w:styleId="Khc0">
    <w:name w:val="Khác"/>
    <w:basedOn w:val="Normal"/>
    <w:link w:val="Khc"/>
    <w:pPr>
      <w:spacing w:line="290" w:lineRule="auto"/>
    </w:pPr>
    <w:rPr>
      <w:rFonts w:ascii="Times New Roman" w:eastAsia="Times New Roman" w:hAnsi="Times New Roman" w:cs="Times New Roman"/>
    </w:rPr>
  </w:style>
  <w:style w:type="table" w:styleId="TableGrid">
    <w:name w:val="Table Grid"/>
    <w:basedOn w:val="TableNormal"/>
    <w:uiPriority w:val="39"/>
    <w:rsid w:val="00897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72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I8tWCikhJk8ZTljDlSR1dSqb5A==">CgMxLjA4AHIhMTc0MnBvbTV4eGFmR0toSVVncDFfcDA2aTBpU3dJa1k4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13</cp:revision>
  <dcterms:created xsi:type="dcterms:W3CDTF">2024-03-28T09:52:00Z</dcterms:created>
  <dcterms:modified xsi:type="dcterms:W3CDTF">2024-04-02T10:40:00Z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77976b15b070e28ac550da500d314c34dd47bff86151cc5b58866ffdf4f811eb</vt:lpwstr>
  </property>
</Properties>
</file>