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F5D2B90" w:rsidR="00AB0DC1" w:rsidRPr="00A24D65" w:rsidRDefault="005D33B6" w:rsidP="00F5462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HKB: Explanation on</w:t>
      </w:r>
      <w:bookmarkStart w:id="0" w:name="_GoBack"/>
      <w:bookmarkEnd w:id="0"/>
      <w:r w:rsidR="00F54620">
        <w:rPr>
          <w:rFonts w:ascii="Arial" w:hAnsi="Arial" w:cs="Arial"/>
          <w:b/>
          <w:color w:val="010000"/>
          <w:sz w:val="20"/>
        </w:rPr>
        <w:t xml:space="preserve"> profit after tax</w:t>
      </w:r>
      <w:r w:rsidR="00FB0AB9" w:rsidRPr="00A24D65">
        <w:rPr>
          <w:rFonts w:ascii="Arial" w:hAnsi="Arial" w:cs="Arial"/>
          <w:b/>
          <w:color w:val="010000"/>
          <w:sz w:val="20"/>
        </w:rPr>
        <w:t xml:space="preserve"> 2023 </w:t>
      </w:r>
      <w:r w:rsidR="00F54620">
        <w:rPr>
          <w:rFonts w:ascii="Arial" w:hAnsi="Arial" w:cs="Arial"/>
          <w:b/>
          <w:color w:val="010000"/>
          <w:sz w:val="20"/>
        </w:rPr>
        <w:t>before and after audit</w:t>
      </w:r>
    </w:p>
    <w:p w14:paraId="00000002" w14:textId="77777777" w:rsidR="00AB0DC1" w:rsidRPr="00A24D65" w:rsidRDefault="00FB0AB9" w:rsidP="00F5462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4D65">
        <w:rPr>
          <w:rFonts w:ascii="Arial" w:hAnsi="Arial" w:cs="Arial"/>
          <w:color w:val="010000"/>
          <w:sz w:val="20"/>
        </w:rPr>
        <w:t xml:space="preserve">On March 29, 2024, Ha </w:t>
      </w:r>
      <w:proofErr w:type="spellStart"/>
      <w:r w:rsidRPr="00A24D65">
        <w:rPr>
          <w:rFonts w:ascii="Arial" w:hAnsi="Arial" w:cs="Arial"/>
          <w:color w:val="010000"/>
          <w:sz w:val="20"/>
        </w:rPr>
        <w:t>Noi</w:t>
      </w:r>
      <w:proofErr w:type="spellEnd"/>
      <w:r w:rsidRPr="00A24D65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A24D65">
        <w:rPr>
          <w:rFonts w:ascii="Arial" w:hAnsi="Arial" w:cs="Arial"/>
          <w:color w:val="010000"/>
          <w:sz w:val="20"/>
        </w:rPr>
        <w:t>Kinh</w:t>
      </w:r>
      <w:proofErr w:type="spellEnd"/>
      <w:r w:rsidRPr="00A24D65">
        <w:rPr>
          <w:rFonts w:ascii="Arial" w:hAnsi="Arial" w:cs="Arial"/>
          <w:color w:val="010000"/>
          <w:sz w:val="20"/>
        </w:rPr>
        <w:t xml:space="preserve"> Bac Agriculture and Food JSC announced Official Dispatch No. 07/HKB-CV explaining profits in 2023 compared to the same period last year and the auditor's rejection opinion as follows: </w:t>
      </w:r>
    </w:p>
    <w:p w14:paraId="00000003" w14:textId="77777777" w:rsidR="00AB0DC1" w:rsidRPr="00A24D65" w:rsidRDefault="00FB0AB9" w:rsidP="00F546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4D65">
        <w:rPr>
          <w:rFonts w:ascii="Arial" w:hAnsi="Arial" w:cs="Arial"/>
          <w:color w:val="010000"/>
          <w:sz w:val="20"/>
        </w:rPr>
        <w:t>Audited Financial Statements as of December 31, 2023</w:t>
      </w:r>
    </w:p>
    <w:p w14:paraId="00000004" w14:textId="77777777" w:rsidR="00AB0DC1" w:rsidRPr="00A24D65" w:rsidRDefault="00FB0AB9" w:rsidP="00F546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4D65">
        <w:rPr>
          <w:rFonts w:ascii="Arial" w:hAnsi="Arial" w:cs="Arial"/>
          <w:color w:val="010000"/>
          <w:sz w:val="20"/>
        </w:rPr>
        <w:t>Combined Financial Statements</w:t>
      </w:r>
    </w:p>
    <w:p w14:paraId="00000005" w14:textId="77777777" w:rsidR="00AB0DC1" w:rsidRPr="00A24D65" w:rsidRDefault="00FB0AB9" w:rsidP="00F546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01"/>
          <w:tab w:val="center" w:pos="2423"/>
          <w:tab w:val="left" w:pos="2889"/>
          <w:tab w:val="left" w:pos="4497"/>
          <w:tab w:val="right" w:pos="5394"/>
          <w:tab w:val="right" w:pos="5864"/>
          <w:tab w:val="left" w:pos="62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4D65">
        <w:rPr>
          <w:rFonts w:ascii="Arial" w:hAnsi="Arial" w:cs="Arial"/>
          <w:color w:val="010000"/>
          <w:sz w:val="20"/>
        </w:rPr>
        <w:t>Profit after corporate income tax in 2022 (loss): VND 12,501,259,767</w:t>
      </w:r>
    </w:p>
    <w:p w14:paraId="00000006" w14:textId="77777777" w:rsidR="00AB0DC1" w:rsidRPr="00A24D65" w:rsidRDefault="00FB0AB9" w:rsidP="00F5462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center" w:pos="2423"/>
          <w:tab w:val="left" w:pos="2890"/>
          <w:tab w:val="left" w:pos="4503"/>
          <w:tab w:val="right" w:pos="5394"/>
          <w:tab w:val="right" w:pos="5864"/>
          <w:tab w:val="left" w:pos="62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4D65">
        <w:rPr>
          <w:rFonts w:ascii="Arial" w:hAnsi="Arial" w:cs="Arial"/>
          <w:color w:val="010000"/>
          <w:sz w:val="20"/>
        </w:rPr>
        <w:t>Profit after corporate income tax in 2023 (loss): VND 11,962,487,467</w:t>
      </w:r>
    </w:p>
    <w:p w14:paraId="00000007" w14:textId="77777777" w:rsidR="00AB0DC1" w:rsidRPr="00A24D65" w:rsidRDefault="00FB0AB9" w:rsidP="00F546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4D65">
        <w:rPr>
          <w:rFonts w:ascii="Arial" w:hAnsi="Arial" w:cs="Arial"/>
          <w:color w:val="010000"/>
          <w:sz w:val="20"/>
        </w:rPr>
        <w:t>Consolidated Financial Statements:</w:t>
      </w:r>
    </w:p>
    <w:p w14:paraId="00000008" w14:textId="77777777" w:rsidR="00AB0DC1" w:rsidRPr="00A24D65" w:rsidRDefault="00FB0AB9" w:rsidP="00F546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01"/>
          <w:tab w:val="center" w:pos="2423"/>
          <w:tab w:val="left" w:pos="2884"/>
          <w:tab w:val="left" w:pos="4497"/>
          <w:tab w:val="right" w:pos="5394"/>
          <w:tab w:val="right" w:pos="5864"/>
          <w:tab w:val="left" w:pos="62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4D65">
        <w:rPr>
          <w:rFonts w:ascii="Arial" w:hAnsi="Arial" w:cs="Arial"/>
          <w:color w:val="010000"/>
          <w:sz w:val="20"/>
        </w:rPr>
        <w:t>Profit after corporate income tax in 2022 (loss): VND 58,789,547,620</w:t>
      </w:r>
    </w:p>
    <w:p w14:paraId="00000009" w14:textId="77777777" w:rsidR="00AB0DC1" w:rsidRPr="00A24D65" w:rsidRDefault="00FB0AB9" w:rsidP="00F546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01"/>
          <w:tab w:val="center" w:pos="2423"/>
          <w:tab w:val="left" w:pos="2884"/>
          <w:tab w:val="left" w:pos="4497"/>
          <w:tab w:val="right" w:pos="5394"/>
          <w:tab w:val="right" w:pos="5864"/>
          <w:tab w:val="left" w:pos="62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4D65">
        <w:rPr>
          <w:rFonts w:ascii="Arial" w:hAnsi="Arial" w:cs="Arial"/>
          <w:color w:val="010000"/>
          <w:sz w:val="20"/>
        </w:rPr>
        <w:t>Profit after corporate income tax in 2023 (loss): VND 58,297,169,547.</w:t>
      </w:r>
    </w:p>
    <w:p w14:paraId="0000000A" w14:textId="77777777" w:rsidR="00AB0DC1" w:rsidRPr="00A24D65" w:rsidRDefault="00FB0AB9" w:rsidP="00F5462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4D65">
        <w:rPr>
          <w:rFonts w:ascii="Arial" w:hAnsi="Arial" w:cs="Arial"/>
          <w:color w:val="010000"/>
          <w:sz w:val="20"/>
        </w:rPr>
        <w:t>Reason:</w:t>
      </w:r>
    </w:p>
    <w:p w14:paraId="0000000B" w14:textId="77777777" w:rsidR="00AB0DC1" w:rsidRPr="00A24D65" w:rsidRDefault="00FB0AB9" w:rsidP="00F5462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4D65">
        <w:rPr>
          <w:rFonts w:ascii="Arial" w:hAnsi="Arial" w:cs="Arial"/>
          <w:color w:val="010000"/>
          <w:sz w:val="20"/>
        </w:rPr>
        <w:t>HKB Company is in the stage of restructuring and rearranging credit capital with banks, so it cannot meet enough short-term capital to serve production and business activities.</w:t>
      </w:r>
    </w:p>
    <w:p w14:paraId="0000000C" w14:textId="77777777" w:rsidR="00AB0DC1" w:rsidRPr="00A24D65" w:rsidRDefault="00FB0AB9" w:rsidP="00F5462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4D65">
        <w:rPr>
          <w:rFonts w:ascii="Arial" w:hAnsi="Arial" w:cs="Arial"/>
          <w:color w:val="010000"/>
          <w:sz w:val="20"/>
        </w:rPr>
        <w:t>Business results on the Consolidated Financial Statements 2023 accounting for "Commercial Advantage" are: VND 45,160,979,628</w:t>
      </w:r>
    </w:p>
    <w:p w14:paraId="0000000D" w14:textId="18BAEB23" w:rsidR="00AB0DC1" w:rsidRPr="00A24D65" w:rsidRDefault="00FB0AB9" w:rsidP="00F546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4D65">
        <w:rPr>
          <w:rFonts w:ascii="Arial" w:hAnsi="Arial" w:cs="Arial"/>
          <w:color w:val="010000"/>
          <w:sz w:val="20"/>
        </w:rPr>
        <w:t xml:space="preserve">The auditor </w:t>
      </w:r>
      <w:r w:rsidR="00F54620">
        <w:rPr>
          <w:rFonts w:ascii="Arial" w:hAnsi="Arial" w:cs="Arial"/>
          <w:color w:val="010000"/>
          <w:sz w:val="20"/>
        </w:rPr>
        <w:t>gives a disclaimer of opinion on the Combined and Consolidated Financial S</w:t>
      </w:r>
      <w:r w:rsidRPr="00A24D65">
        <w:rPr>
          <w:rFonts w:ascii="Arial" w:hAnsi="Arial" w:cs="Arial"/>
          <w:color w:val="010000"/>
          <w:sz w:val="20"/>
        </w:rPr>
        <w:t>tatements because:</w:t>
      </w:r>
    </w:p>
    <w:p w14:paraId="0000000E" w14:textId="549EAE8C" w:rsidR="00AB0DC1" w:rsidRPr="00A24D65" w:rsidRDefault="00FB0AB9" w:rsidP="00F546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4D65">
        <w:rPr>
          <w:rFonts w:ascii="Arial" w:hAnsi="Arial" w:cs="Arial"/>
          <w:color w:val="010000"/>
          <w:sz w:val="20"/>
        </w:rPr>
        <w:t xml:space="preserve">Unable to collect sufficient reasonable evidence about the </w:t>
      </w:r>
      <w:r w:rsidR="00F54620">
        <w:rPr>
          <w:rFonts w:ascii="Arial" w:hAnsi="Arial" w:cs="Arial"/>
          <w:color w:val="010000"/>
          <w:sz w:val="20"/>
        </w:rPr>
        <w:t xml:space="preserve">completeness and integrity </w:t>
      </w:r>
      <w:r w:rsidRPr="00A24D65">
        <w:rPr>
          <w:rFonts w:ascii="Arial" w:hAnsi="Arial" w:cs="Arial"/>
          <w:color w:val="010000"/>
          <w:sz w:val="20"/>
        </w:rPr>
        <w:t xml:space="preserve">of the </w:t>
      </w:r>
      <w:r w:rsidR="00F54620">
        <w:rPr>
          <w:rFonts w:ascii="Arial" w:hAnsi="Arial" w:cs="Arial"/>
          <w:color w:val="010000"/>
          <w:sz w:val="20"/>
        </w:rPr>
        <w:t>Goodwill</w:t>
      </w:r>
      <w:r w:rsidRPr="00A24D65">
        <w:rPr>
          <w:rFonts w:ascii="Arial" w:hAnsi="Arial" w:cs="Arial"/>
          <w:color w:val="010000"/>
          <w:sz w:val="20"/>
        </w:rPr>
        <w:t xml:space="preserve"> as of December 31, 2022.</w:t>
      </w:r>
    </w:p>
    <w:p w14:paraId="0000000F" w14:textId="77777777" w:rsidR="00AB0DC1" w:rsidRPr="00A24D65" w:rsidRDefault="00FB0AB9" w:rsidP="00F546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4D65">
        <w:rPr>
          <w:rFonts w:ascii="Arial" w:hAnsi="Arial" w:cs="Arial"/>
          <w:color w:val="010000"/>
          <w:sz w:val="20"/>
        </w:rPr>
        <w:t xml:space="preserve">Haven't received advance confirmation letters from Mr. Pham Thanh </w:t>
      </w:r>
      <w:proofErr w:type="spellStart"/>
      <w:r w:rsidRPr="00A24D65">
        <w:rPr>
          <w:rFonts w:ascii="Arial" w:hAnsi="Arial" w:cs="Arial"/>
          <w:color w:val="010000"/>
          <w:sz w:val="20"/>
        </w:rPr>
        <w:t>Binh</w:t>
      </w:r>
      <w:proofErr w:type="spellEnd"/>
      <w:r w:rsidRPr="00A24D65">
        <w:rPr>
          <w:rFonts w:ascii="Arial" w:hAnsi="Arial" w:cs="Arial"/>
          <w:color w:val="010000"/>
          <w:sz w:val="20"/>
        </w:rPr>
        <w:t xml:space="preserve"> and Mr. Nguyen Chi Dang.</w:t>
      </w:r>
    </w:p>
    <w:p w14:paraId="00000010" w14:textId="77777777" w:rsidR="00AB0DC1" w:rsidRPr="00A24D65" w:rsidRDefault="00FB0AB9" w:rsidP="00F546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4D65">
        <w:rPr>
          <w:rFonts w:ascii="Arial" w:hAnsi="Arial" w:cs="Arial"/>
          <w:color w:val="010000"/>
          <w:sz w:val="20"/>
        </w:rPr>
        <w:t>Haven’t determine the cause of inventory shortage</w:t>
      </w:r>
    </w:p>
    <w:p w14:paraId="00000011" w14:textId="7B9300BA" w:rsidR="00AB0DC1" w:rsidRPr="00A24D65" w:rsidRDefault="00FB0AB9" w:rsidP="00F546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4D65">
        <w:rPr>
          <w:rFonts w:ascii="Arial" w:hAnsi="Arial" w:cs="Arial"/>
          <w:color w:val="010000"/>
          <w:sz w:val="20"/>
        </w:rPr>
        <w:t xml:space="preserve">Business activities in 2023 continue to have accumulated losses, short-term debts exceed </w:t>
      </w:r>
      <w:r w:rsidR="00F54620">
        <w:rPr>
          <w:rFonts w:ascii="Arial" w:hAnsi="Arial" w:cs="Arial"/>
          <w:color w:val="010000"/>
          <w:sz w:val="20"/>
        </w:rPr>
        <w:t xml:space="preserve">current </w:t>
      </w:r>
      <w:r w:rsidRPr="00A24D65">
        <w:rPr>
          <w:rFonts w:ascii="Arial" w:hAnsi="Arial" w:cs="Arial"/>
          <w:color w:val="010000"/>
          <w:sz w:val="20"/>
        </w:rPr>
        <w:t>assets as of December 31, 2023.</w:t>
      </w:r>
    </w:p>
    <w:p w14:paraId="00000012" w14:textId="77777777" w:rsidR="00AB0DC1" w:rsidRPr="00FB0AB9" w:rsidRDefault="00FB0AB9" w:rsidP="00F5462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4D65">
        <w:rPr>
          <w:rFonts w:ascii="Arial" w:hAnsi="Arial" w:cs="Arial"/>
          <w:color w:val="010000"/>
          <w:sz w:val="20"/>
        </w:rPr>
        <w:t xml:space="preserve">Currently, the Company's Leaders are coordinating with relevant departments to compare advance debt documents of Mr. Pham Thanh </w:t>
      </w:r>
      <w:proofErr w:type="spellStart"/>
      <w:r w:rsidRPr="00A24D65">
        <w:rPr>
          <w:rFonts w:ascii="Arial" w:hAnsi="Arial" w:cs="Arial"/>
          <w:color w:val="010000"/>
          <w:sz w:val="20"/>
        </w:rPr>
        <w:t>Binh</w:t>
      </w:r>
      <w:proofErr w:type="spellEnd"/>
      <w:r w:rsidRPr="00A24D65">
        <w:rPr>
          <w:rFonts w:ascii="Arial" w:hAnsi="Arial" w:cs="Arial"/>
          <w:color w:val="010000"/>
          <w:sz w:val="20"/>
        </w:rPr>
        <w:t xml:space="preserve"> and Mr. Nguyen Chi Dang and determine the cause of the inventory shortage.</w:t>
      </w:r>
    </w:p>
    <w:sectPr w:rsidR="00AB0DC1" w:rsidRPr="00FB0AB9" w:rsidSect="00FB0AB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4D9"/>
    <w:multiLevelType w:val="multilevel"/>
    <w:tmpl w:val="E3C814B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1161C08"/>
    <w:multiLevelType w:val="multilevel"/>
    <w:tmpl w:val="86500C4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100F6"/>
    <w:multiLevelType w:val="multilevel"/>
    <w:tmpl w:val="F2CAEBC2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FEE595B"/>
    <w:multiLevelType w:val="multilevel"/>
    <w:tmpl w:val="6C5EB934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C1"/>
    <w:rsid w:val="005D33B6"/>
    <w:rsid w:val="00A24D65"/>
    <w:rsid w:val="00AB0DC1"/>
    <w:rsid w:val="00F54620"/>
    <w:rsid w:val="00FB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2C02"/>
  <w15:docId w15:val="{37F2AD7F-FB50-4289-A1CA-9A8C6DDC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221" w:lineRule="auto"/>
      <w:ind w:left="212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left="14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32"/>
      <w:szCs w:val="3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2"/>
      <w:szCs w:val="1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fU0xnpvjh89/NlK9f12HRQlfLw==">CgMxLjA4AGokChRzdWdnZXN0LmgxaWRpMDR6cm0wOBIMVGh1eWR1b25nIExvciExVGxIMlZVV2dBZnNOUUNYZGlpWld0bjdHX1BxbE8zOTM=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4</cp:revision>
  <dcterms:created xsi:type="dcterms:W3CDTF">2024-04-02T03:59:00Z</dcterms:created>
  <dcterms:modified xsi:type="dcterms:W3CDTF">2024-04-02T03:59:00Z</dcterms:modified>
</cp:coreProperties>
</file>