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C2D46">
        <w:rPr>
          <w:rFonts w:ascii="Arial" w:hAnsi="Arial" w:cs="Arial"/>
          <w:b/>
          <w:color w:val="010000"/>
          <w:sz w:val="20"/>
        </w:rPr>
        <w:t>HSP: Annual General Mandate 2024</w:t>
      </w:r>
    </w:p>
    <w:p w14:paraId="00000002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On March 28, 2024, Hanoi Synthetic Paint Joint Stock Company announced General Mandate No. 24/2024/NQ-DHDCD as follows:</w:t>
      </w:r>
    </w:p>
    <w:p w14:paraId="00000003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Article 1:</w:t>
      </w:r>
    </w:p>
    <w:p w14:paraId="00000004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the Board of Directors’ Report of Hanoi Synthetic Paint Joint Stock Company.</w:t>
      </w:r>
    </w:p>
    <w:p w14:paraId="00000005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the summary report on production and business activities in 2023 and plan orientation for 2024.</w:t>
      </w:r>
    </w:p>
    <w:p w14:paraId="00000006" w14:textId="77777777" w:rsidR="00F1530E" w:rsidRPr="006C2D46" w:rsidRDefault="00817906" w:rsidP="003E6D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Production and business results in 2023:</w:t>
      </w:r>
    </w:p>
    <w:p w14:paraId="00000007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Revenue: VND 419.7 billion</w:t>
      </w:r>
    </w:p>
    <w:p w14:paraId="00000008" w14:textId="77777777" w:rsidR="00F1530E" w:rsidRPr="006C2D46" w:rsidRDefault="00817906" w:rsidP="003E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3"/>
          <w:tab w:val="left" w:pos="71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Profit before tax: VND 19.2 billion</w:t>
      </w:r>
    </w:p>
    <w:p w14:paraId="00000009" w14:textId="77777777" w:rsidR="00F1530E" w:rsidRPr="006C2D46" w:rsidRDefault="00817906" w:rsidP="003E6D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Production and business plan in 2024:</w:t>
      </w:r>
    </w:p>
    <w:p w14:paraId="0000000A" w14:textId="77777777" w:rsidR="00F1530E" w:rsidRPr="006C2D46" w:rsidRDefault="00817906" w:rsidP="003E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3"/>
          <w:tab w:val="left" w:pos="71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Revenue: VND 450 billion</w:t>
      </w:r>
    </w:p>
    <w:p w14:paraId="0000000B" w14:textId="77777777" w:rsidR="00F1530E" w:rsidRPr="006C2D46" w:rsidRDefault="00817906" w:rsidP="003E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3"/>
          <w:tab w:val="left" w:pos="7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Profit before tax: VND 14 billion</w:t>
      </w:r>
    </w:p>
    <w:p w14:paraId="0000000C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the Financial Statements 2023 audited by CPA Vietnam Auditing Company Limited.</w:t>
      </w:r>
    </w:p>
    <w:p w14:paraId="0000000D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the plan on profit distribution and dividend payment in 2023.</w:t>
      </w:r>
    </w:p>
    <w:p w14:paraId="0000000E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Unit: VND</w:t>
      </w:r>
    </w:p>
    <w:p w14:paraId="0000000F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 xml:space="preserve">Charter capital (December 31, 2023): 120,270,860,000 </w:t>
      </w:r>
    </w:p>
    <w:p w14:paraId="00000010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Total profit arising in 2023: 19,223,112,000</w:t>
      </w:r>
    </w:p>
    <w:p w14:paraId="00000011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Amounts subject to corporate income tax: 0</w:t>
      </w:r>
    </w:p>
    <w:p w14:paraId="00000012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Additional tax payable: 0</w:t>
      </w:r>
    </w:p>
    <w:p w14:paraId="00000013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Corporate income tax payable: 3,968,297,051</w:t>
      </w:r>
    </w:p>
    <w:p w14:paraId="00000014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Remaining profit to be distributed: 15,254,814,949</w:t>
      </w:r>
    </w:p>
    <w:p w14:paraId="00000015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Total distributed profit: 15,254,814,949</w:t>
      </w:r>
    </w:p>
    <w:p w14:paraId="00000016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Appropriation for mandatory reverse fund: 762,740,747</w:t>
      </w:r>
    </w:p>
    <w:p w14:paraId="00000017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Appropriation for investment and development fund: 0</w:t>
      </w:r>
    </w:p>
    <w:p w14:paraId="00000018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Appropriation for bonus and welfare fund: 781,196,162</w:t>
      </w:r>
    </w:p>
    <w:p w14:paraId="00000019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Remaining profit distributed to shareholders: 13,710,878,040</w:t>
      </w:r>
    </w:p>
    <w:p w14:paraId="0000001A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Dividends prepaid during the year: 0</w:t>
      </w:r>
    </w:p>
    <w:p w14:paraId="0000001B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Remaining amount to be distributed: 13,710,878,040</w:t>
      </w:r>
    </w:p>
    <w:p w14:paraId="0000001C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Equivalent to: VND 1,140/share</w:t>
      </w:r>
    </w:p>
    <w:p w14:paraId="0000001D" w14:textId="77777777" w:rsidR="00F1530E" w:rsidRPr="006C2D46" w:rsidRDefault="00817906" w:rsidP="003E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Dividend payment method: Cash or bank transfer</w:t>
      </w:r>
    </w:p>
    <w:p w14:paraId="0000001E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lastRenderedPageBreak/>
        <w:t>Assign the Board of Directors to organize the payment of dividends expected to be made in Q2/2024 in cash or transfer.</w:t>
      </w:r>
    </w:p>
    <w:p w14:paraId="0000001F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the Report of the Supervisory Board in 2023.</w:t>
      </w:r>
    </w:p>
    <w:p w14:paraId="00000020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Approve authorizing the Board of Directors to select an audit company to audit the Financial Statements 2024.</w:t>
      </w:r>
    </w:p>
    <w:p w14:paraId="00000021" w14:textId="44C56E9F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 xml:space="preserve">Approve the Report on remuneration and operating expenses of the Board of Directors and the Supervisory Board in 2023 </w:t>
      </w:r>
      <w:r w:rsidR="00401212">
        <w:rPr>
          <w:rFonts w:ascii="Arial" w:hAnsi="Arial" w:cs="Arial"/>
          <w:color w:val="010000"/>
          <w:sz w:val="20"/>
        </w:rPr>
        <w:t>at</w:t>
      </w:r>
      <w:r w:rsidRPr="006C2D46">
        <w:rPr>
          <w:rFonts w:ascii="Arial" w:hAnsi="Arial" w:cs="Arial"/>
          <w:color w:val="010000"/>
          <w:sz w:val="20"/>
        </w:rPr>
        <w:t xml:space="preserve"> an amount of VND 500,000,000, and the plan to pay remuneration and expenses for activities of the Board of Directors and the Supervisory Board in 2024 </w:t>
      </w:r>
      <w:r w:rsidR="00401212">
        <w:rPr>
          <w:rFonts w:ascii="Arial" w:hAnsi="Arial" w:cs="Arial"/>
          <w:color w:val="010000"/>
          <w:sz w:val="20"/>
        </w:rPr>
        <w:t>at</w:t>
      </w:r>
      <w:bookmarkStart w:id="1" w:name="_GoBack"/>
      <w:bookmarkEnd w:id="1"/>
      <w:r w:rsidRPr="006C2D46">
        <w:rPr>
          <w:rFonts w:ascii="Arial" w:hAnsi="Arial" w:cs="Arial"/>
          <w:color w:val="010000"/>
          <w:sz w:val="20"/>
        </w:rPr>
        <w:t xml:space="preserve"> an expected amount of VND 600,000,000.</w:t>
      </w:r>
    </w:p>
    <w:p w14:paraId="00000022" w14:textId="77777777" w:rsidR="00F1530E" w:rsidRPr="006C2D46" w:rsidRDefault="00817906" w:rsidP="003E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 xml:space="preserve">Approve authorizing the Board of Directors to decide on issues related to Minh Duc (Hung Yen), </w:t>
      </w:r>
      <w:proofErr w:type="spellStart"/>
      <w:r w:rsidRPr="006C2D46">
        <w:rPr>
          <w:rFonts w:ascii="Arial" w:hAnsi="Arial" w:cs="Arial"/>
          <w:color w:val="010000"/>
          <w:sz w:val="20"/>
        </w:rPr>
        <w:t>Hao</w:t>
      </w:r>
      <w:proofErr w:type="spellEnd"/>
      <w:r w:rsidRPr="006C2D46">
        <w:rPr>
          <w:rFonts w:ascii="Arial" w:hAnsi="Arial" w:cs="Arial"/>
          <w:color w:val="010000"/>
          <w:sz w:val="20"/>
        </w:rPr>
        <w:t xml:space="preserve"> Nam (Hanoi) facilities (investment, leasing, transfer...)</w:t>
      </w:r>
    </w:p>
    <w:p w14:paraId="00000023" w14:textId="77777777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Article 2:</w:t>
      </w:r>
    </w:p>
    <w:p w14:paraId="00000024" w14:textId="7C98F538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This General Mandate was approved in full by the Annual General Meeting 2024 of Hanoi Synthetic Paint Joint Stock Company and takes effect from March 28, 2024.</w:t>
      </w:r>
    </w:p>
    <w:p w14:paraId="00000025" w14:textId="4770EADA" w:rsidR="00F1530E" w:rsidRPr="006C2D46" w:rsidRDefault="00817906" w:rsidP="003E6D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2D46">
        <w:rPr>
          <w:rFonts w:ascii="Arial" w:hAnsi="Arial" w:cs="Arial"/>
          <w:color w:val="010000"/>
          <w:sz w:val="20"/>
        </w:rPr>
        <w:t>Ass</w:t>
      </w:r>
      <w:r w:rsidR="0023033D">
        <w:rPr>
          <w:rFonts w:ascii="Arial" w:hAnsi="Arial" w:cs="Arial"/>
          <w:color w:val="010000"/>
          <w:sz w:val="20"/>
        </w:rPr>
        <w:t xml:space="preserve">ign the Board of Directors, </w:t>
      </w:r>
      <w:r w:rsidRPr="006C2D46">
        <w:rPr>
          <w:rFonts w:ascii="Arial" w:hAnsi="Arial" w:cs="Arial"/>
          <w:color w:val="010000"/>
          <w:sz w:val="20"/>
        </w:rPr>
        <w:t xml:space="preserve">Supervisory Board and </w:t>
      </w:r>
      <w:r w:rsidR="0023033D">
        <w:rPr>
          <w:rFonts w:ascii="Arial" w:hAnsi="Arial" w:cs="Arial"/>
          <w:color w:val="010000"/>
          <w:sz w:val="20"/>
        </w:rPr>
        <w:t>Managing Director</w:t>
      </w:r>
      <w:r w:rsidRPr="006C2D46">
        <w:rPr>
          <w:rFonts w:ascii="Arial" w:hAnsi="Arial" w:cs="Arial"/>
          <w:color w:val="010000"/>
          <w:sz w:val="20"/>
        </w:rPr>
        <w:t xml:space="preserve"> of the Company to implement based on the content of this General Mandate.</w:t>
      </w:r>
    </w:p>
    <w:sectPr w:rsidR="00F1530E" w:rsidRPr="006C2D46" w:rsidSect="008179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2E8"/>
    <w:multiLevelType w:val="multilevel"/>
    <w:tmpl w:val="0BB8F3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F833D0"/>
    <w:multiLevelType w:val="multilevel"/>
    <w:tmpl w:val="BC5CC7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965065"/>
    <w:multiLevelType w:val="multilevel"/>
    <w:tmpl w:val="BACA5DB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8D42C89"/>
    <w:multiLevelType w:val="multilevel"/>
    <w:tmpl w:val="8A3A6E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E"/>
    <w:rsid w:val="0023033D"/>
    <w:rsid w:val="003E6DA5"/>
    <w:rsid w:val="00401212"/>
    <w:rsid w:val="006C2D46"/>
    <w:rsid w:val="00817906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B42C"/>
  <w15:docId w15:val="{A6E2C9A7-1400-43EA-B7B4-7EB402F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D2E41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D2E41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D2E41"/>
      <w:sz w:val="32"/>
      <w:szCs w:val="3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5D2E41"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ther0">
    <w:name w:val="Other"/>
    <w:basedOn w:val="Normal"/>
    <w:link w:val="Other"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7" w:lineRule="auto"/>
      <w:ind w:left="3420" w:firstLine="20"/>
    </w:pPr>
    <w:rPr>
      <w:rFonts w:ascii="Arial" w:eastAsia="Arial" w:hAnsi="Arial" w:cs="Arial"/>
      <w:color w:val="5D2E41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62" w:lineRule="auto"/>
      <w:ind w:left="2860"/>
    </w:pPr>
    <w:rPr>
      <w:rFonts w:ascii="Times New Roman" w:eastAsia="Times New Roman" w:hAnsi="Times New Roman" w:cs="Times New Roman"/>
      <w:smallCaps/>
      <w:color w:val="5D2E41"/>
      <w:sz w:val="32"/>
      <w:szCs w:val="3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4A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38B+gmo9prW/xaIev8pSDx70VQ==">CgMxLjAyCGguZ2pkZ3hzOAByITF5NzY3bW1GNVBfbEVGNlNndEtuTTE3ekI3b2lIM1pwYg==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2024-04-02T03:26:00Z</dcterms:created>
  <dcterms:modified xsi:type="dcterms:W3CDTF">2024-04-02T03:26:00Z</dcterms:modified>
</cp:coreProperties>
</file>