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239E" w14:textId="058AB4C7" w:rsidR="00B517F7" w:rsidRPr="00756240" w:rsidRDefault="00DA37ED" w:rsidP="007F0AC8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KTC: Explanation on</w:t>
      </w:r>
      <w:r w:rsidR="007F0AC8" w:rsidRPr="00756240">
        <w:rPr>
          <w:rFonts w:ascii="Arial" w:hAnsi="Arial" w:cs="Arial"/>
          <w:b/>
          <w:color w:val="010000"/>
          <w:sz w:val="20"/>
        </w:rPr>
        <w:t xml:space="preserve"> difference in profit after tax </w:t>
      </w:r>
      <w:r>
        <w:rPr>
          <w:rFonts w:ascii="Arial" w:hAnsi="Arial" w:cs="Arial"/>
          <w:b/>
          <w:color w:val="010000"/>
          <w:sz w:val="20"/>
        </w:rPr>
        <w:t>2023</w:t>
      </w:r>
    </w:p>
    <w:p w14:paraId="706F522A" w14:textId="77777777" w:rsidR="00B517F7" w:rsidRPr="00756240" w:rsidRDefault="007F0AC8" w:rsidP="00DA37ED">
      <w:p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r w:rsidRPr="00756240">
        <w:rPr>
          <w:rFonts w:ascii="Arial" w:hAnsi="Arial" w:cs="Arial"/>
          <w:color w:val="010000"/>
          <w:sz w:val="20"/>
        </w:rPr>
        <w:t>Kien</w:t>
      </w:r>
      <w:proofErr w:type="spellEnd"/>
      <w:r w:rsidRPr="00756240">
        <w:rPr>
          <w:rFonts w:ascii="Arial" w:hAnsi="Arial" w:cs="Arial"/>
          <w:color w:val="010000"/>
          <w:sz w:val="20"/>
        </w:rPr>
        <w:t xml:space="preserve"> Giang Trading Joint Stock Company announced Official Dispatch No. 177/KTC-TCKT on explaining the difference in profit after tax compared to the same period as follows: </w:t>
      </w:r>
    </w:p>
    <w:p w14:paraId="74D4BA90" w14:textId="77777777" w:rsidR="00B517F7" w:rsidRPr="00756240" w:rsidRDefault="007F0AC8" w:rsidP="007F0A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>Based on the comparison table of business results:</w:t>
      </w:r>
    </w:p>
    <w:p w14:paraId="20060BB1" w14:textId="77777777" w:rsidR="00B517F7" w:rsidRPr="00756240" w:rsidRDefault="007F0AC8" w:rsidP="007F0A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1"/>
        <w:gridCol w:w="2172"/>
        <w:gridCol w:w="1563"/>
        <w:gridCol w:w="1669"/>
        <w:gridCol w:w="1276"/>
        <w:gridCol w:w="1666"/>
      </w:tblGrid>
      <w:tr w:rsidR="00B517F7" w:rsidRPr="00756240" w14:paraId="497FDFCA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B5600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F0988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D5D7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7FE90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DD413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D96D3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Increase/decrease (%)</w:t>
            </w:r>
          </w:p>
        </w:tc>
      </w:tr>
      <w:tr w:rsidR="00B517F7" w:rsidRPr="00756240" w14:paraId="6516F55A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92422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C031E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07CC7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5,602,110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FA0D5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6,361,938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9CA3E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(759,828)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09594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(11.94%)</w:t>
            </w:r>
          </w:p>
        </w:tc>
      </w:tr>
      <w:tr w:rsidR="00B517F7" w:rsidRPr="00756240" w14:paraId="5CFC4FCB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F6C71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FF05B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4D3EF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5,385,116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361D9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6,114,667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D9C7E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(729,551)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985B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(11.93%)</w:t>
            </w:r>
          </w:p>
        </w:tc>
      </w:tr>
      <w:tr w:rsidR="00B517F7" w:rsidRPr="00756240" w14:paraId="384D57B4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DF80F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24512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09369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216,994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4151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247,271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AB7A7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(30,277)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44B66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(12.24%)</w:t>
            </w:r>
          </w:p>
        </w:tc>
      </w:tr>
      <w:tr w:rsidR="00B517F7" w:rsidRPr="00756240" w14:paraId="18AB02A7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A7175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F398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F7180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29,768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1F378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28,309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636B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1,459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E9299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5.15%</w:t>
            </w:r>
          </w:p>
        </w:tc>
      </w:tr>
      <w:tr w:rsidR="00B517F7" w:rsidRPr="00756240" w14:paraId="4910287B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178F0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978D6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D8813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48,386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A350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53,643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1AF4E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(5,257)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F01AE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(9.80%)</w:t>
            </w:r>
          </w:p>
        </w:tc>
      </w:tr>
      <w:tr w:rsidR="00B517F7" w:rsidRPr="00756240" w14:paraId="1F31A5ED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DE056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3FB10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37B03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132,344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31900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165,921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2F8F4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(33,577)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58E51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(20.24%)</w:t>
            </w:r>
          </w:p>
        </w:tc>
      </w:tr>
      <w:tr w:rsidR="00B517F7" w:rsidRPr="00756240" w14:paraId="3DB26FFD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7292C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3600A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83E6A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44,721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F6017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44,232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64EA9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489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49058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1.11%</w:t>
            </w:r>
          </w:p>
        </w:tc>
      </w:tr>
      <w:tr w:rsidR="00B517F7" w:rsidRPr="00756240" w14:paraId="7EDF8D21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F0598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6530B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Net profit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C70A9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21,311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AFA6A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11,784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59F21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9,528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6A11D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80.86%</w:t>
            </w:r>
          </w:p>
        </w:tc>
      </w:tr>
      <w:tr w:rsidR="00B517F7" w:rsidRPr="00756240" w14:paraId="22D2C168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622A6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C174A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65BAF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2,177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80E55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4,161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B0D6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(1,984)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EF967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(47.68%)</w:t>
            </w:r>
          </w:p>
        </w:tc>
      </w:tr>
      <w:tr w:rsidR="00B517F7" w:rsidRPr="00756240" w14:paraId="41828597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27638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E081B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9AB68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23,488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18615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15,944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18A2D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7,544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EC32D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47.31%</w:t>
            </w:r>
          </w:p>
        </w:tc>
      </w:tr>
      <w:tr w:rsidR="00B517F7" w:rsidRPr="00756240" w14:paraId="3132F103" w14:textId="77777777" w:rsidTr="007F0AC8">
        <w:tc>
          <w:tcPr>
            <w:tcW w:w="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BCF97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567F3" w14:textId="1C5F8DDE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1909F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19,789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5F835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13,694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FD7ED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6,094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B94A9" w14:textId="77777777" w:rsidR="00B517F7" w:rsidRPr="00756240" w:rsidRDefault="007F0AC8" w:rsidP="007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6240">
              <w:rPr>
                <w:rFonts w:ascii="Arial" w:hAnsi="Arial" w:cs="Arial"/>
                <w:color w:val="010000"/>
                <w:sz w:val="20"/>
              </w:rPr>
              <w:t>44.50%</w:t>
            </w:r>
          </w:p>
        </w:tc>
      </w:tr>
    </w:tbl>
    <w:p w14:paraId="0A54BCDC" w14:textId="77777777" w:rsidR="00B517F7" w:rsidRPr="00756240" w:rsidRDefault="007F0AC8" w:rsidP="00DA37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>Production and business results in 2023: Net revenue reached VND 5,602 billion, down 11.94% over the same period; cost of goods sold decreased by 11.93%, equivalent to VND 729.6 billion. Gross profit decreased by 12.2%</w:t>
      </w:r>
      <w:bookmarkStart w:id="0" w:name="_GoBack"/>
      <w:bookmarkEnd w:id="0"/>
      <w:r w:rsidRPr="00756240">
        <w:rPr>
          <w:rFonts w:ascii="Arial" w:hAnsi="Arial" w:cs="Arial"/>
          <w:color w:val="010000"/>
          <w:sz w:val="20"/>
        </w:rPr>
        <w:t>, equivalent to VND 30.3 billion.</w:t>
      </w:r>
    </w:p>
    <w:p w14:paraId="6FDE034F" w14:textId="77777777" w:rsidR="00B517F7" w:rsidRPr="00756240" w:rsidRDefault="007F0AC8" w:rsidP="00DA37ED">
      <w:pPr>
        <w:pBdr>
          <w:top w:val="nil"/>
          <w:left w:val="nil"/>
          <w:bottom w:val="nil"/>
          <w:right w:val="nil"/>
          <w:between w:val="nil"/>
        </w:pBdr>
        <w:tabs>
          <w:tab w:val="left" w:pos="62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 xml:space="preserve">Although gross profit decreased, financial expenses and selling expenses also decreased, specifically: </w:t>
      </w:r>
    </w:p>
    <w:p w14:paraId="3331E12A" w14:textId="77777777" w:rsidR="00B517F7" w:rsidRPr="00756240" w:rsidRDefault="007F0AC8" w:rsidP="00DA3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5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>Financial costs decreased by 9.8%, equivalent to VND 5.3 billion;</w:t>
      </w:r>
    </w:p>
    <w:p w14:paraId="1B97DEA7" w14:textId="77777777" w:rsidR="00B517F7" w:rsidRPr="00756240" w:rsidRDefault="007F0AC8" w:rsidP="00DA3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>Selling expenses decreased by 20.2%, equivalent to VND 33.6 billion;</w:t>
      </w:r>
    </w:p>
    <w:p w14:paraId="2C4570B4" w14:textId="77777777" w:rsidR="00B517F7" w:rsidRPr="00756240" w:rsidRDefault="007F0AC8" w:rsidP="00DA37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6240">
        <w:rPr>
          <w:rFonts w:ascii="Arial" w:hAnsi="Arial" w:cs="Arial"/>
          <w:color w:val="010000"/>
          <w:sz w:val="20"/>
        </w:rPr>
        <w:t>So profit after tax increased by 44.5%, equivalent to VND 6.1 billion.</w:t>
      </w:r>
    </w:p>
    <w:sectPr w:rsidR="00B517F7" w:rsidRPr="00756240" w:rsidSect="007F0AC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F47"/>
    <w:multiLevelType w:val="multilevel"/>
    <w:tmpl w:val="6B9CD01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7"/>
    <w:rsid w:val="00756240"/>
    <w:rsid w:val="007F0AC8"/>
    <w:rsid w:val="00B517F7"/>
    <w:rsid w:val="00D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65C44"/>
  <w15:docId w15:val="{781DB3E5-6E4C-4C3A-9120-163DBE8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VMqd2MULIYbNuDhAbCchgYNUw==">CgMxLjA4AHIhMUw3a3dqLUdPd2VvOXJDck12ZnVld0hVVFplUGhFbnhP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2024-04-02T04:30:00Z</dcterms:created>
  <dcterms:modified xsi:type="dcterms:W3CDTF">2024-04-02T04:30:00Z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710f3e252496a2a759751ac141aa5adf08b9e6608c049bb466062ec64c552a0c</vt:lpwstr>
  </property>
</Properties>
</file>