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3E72E" w14:textId="77777777" w:rsidR="007E2088" w:rsidRPr="0033122F" w:rsidRDefault="007E2088" w:rsidP="005E7AB7">
      <w:pPr>
        <w:pStyle w:val="Vnbnnidung20"/>
        <w:tabs>
          <w:tab w:val="left" w:pos="426"/>
        </w:tabs>
        <w:spacing w:after="120" w:line="360" w:lineRule="auto"/>
        <w:ind w:left="0" w:firstLine="0"/>
        <w:jc w:val="both"/>
        <w:rPr>
          <w:rFonts w:ascii="Arial" w:hAnsi="Arial" w:cs="Arial"/>
          <w:color w:val="010000"/>
          <w:sz w:val="20"/>
        </w:rPr>
      </w:pPr>
      <w:bookmarkStart w:id="0" w:name="_GoBack"/>
      <w:bookmarkEnd w:id="0"/>
      <w:r w:rsidRPr="0033122F">
        <w:rPr>
          <w:rFonts w:ascii="Arial" w:hAnsi="Arial" w:cs="Arial"/>
          <w:color w:val="010000"/>
          <w:sz w:val="20"/>
        </w:rPr>
        <w:t>MLC: Board Resolution</w:t>
      </w:r>
    </w:p>
    <w:p w14:paraId="3FE89638" w14:textId="77777777" w:rsidR="0074591A" w:rsidRPr="0033122F" w:rsidRDefault="007E2088" w:rsidP="005E7AB7">
      <w:pPr>
        <w:pStyle w:val="Vnbnnidung20"/>
        <w:tabs>
          <w:tab w:val="left" w:pos="426"/>
        </w:tabs>
        <w:spacing w:after="120" w:line="360" w:lineRule="auto"/>
        <w:ind w:left="0" w:firstLine="0"/>
        <w:jc w:val="both"/>
        <w:rPr>
          <w:rFonts w:ascii="Arial" w:hAnsi="Arial" w:cs="Arial"/>
          <w:b w:val="0"/>
          <w:color w:val="010000"/>
          <w:sz w:val="20"/>
        </w:rPr>
      </w:pPr>
      <w:r w:rsidRPr="0033122F">
        <w:rPr>
          <w:rFonts w:ascii="Arial" w:hAnsi="Arial" w:cs="Arial"/>
          <w:b w:val="0"/>
          <w:color w:val="010000"/>
          <w:sz w:val="20"/>
        </w:rPr>
        <w:t>On March 29, 2024, Lao Cai Urban Environment Joint Stock Company announced Resolution No. 06/NQ-HDQT as follows:</w:t>
      </w:r>
    </w:p>
    <w:p w14:paraId="58D7B942" w14:textId="77777777" w:rsidR="0074591A" w:rsidRPr="0033122F" w:rsidRDefault="0060624B" w:rsidP="005E7AB7">
      <w:pPr>
        <w:pStyle w:val="Vnbnnidung0"/>
        <w:tabs>
          <w:tab w:val="left" w:pos="426"/>
        </w:tabs>
        <w:spacing w:after="120" w:line="360" w:lineRule="auto"/>
        <w:ind w:firstLine="0"/>
        <w:jc w:val="both"/>
        <w:rPr>
          <w:rFonts w:ascii="Arial" w:hAnsi="Arial" w:cs="Arial"/>
          <w:color w:val="010000"/>
          <w:sz w:val="20"/>
        </w:rPr>
      </w:pPr>
      <w:r w:rsidRPr="0033122F">
        <w:rPr>
          <w:rFonts w:ascii="Arial" w:hAnsi="Arial" w:cs="Arial"/>
          <w:color w:val="010000"/>
          <w:sz w:val="20"/>
        </w:rPr>
        <w:t>‎‎Article 1. Approve the following contents:</w:t>
      </w:r>
    </w:p>
    <w:p w14:paraId="66EB0DCA" w14:textId="77777777" w:rsidR="0074591A" w:rsidRPr="0033122F" w:rsidRDefault="0060624B" w:rsidP="005E7AB7">
      <w:pPr>
        <w:pStyle w:val="Vnbnnidung0"/>
        <w:numPr>
          <w:ilvl w:val="0"/>
          <w:numId w:val="1"/>
        </w:numPr>
        <w:tabs>
          <w:tab w:val="left" w:pos="426"/>
          <w:tab w:val="left" w:pos="1509"/>
        </w:tabs>
        <w:spacing w:after="120" w:line="360" w:lineRule="auto"/>
        <w:ind w:firstLine="0"/>
        <w:jc w:val="both"/>
        <w:rPr>
          <w:rFonts w:ascii="Arial" w:hAnsi="Arial" w:cs="Arial"/>
          <w:color w:val="010000"/>
          <w:sz w:val="20"/>
        </w:rPr>
      </w:pPr>
      <w:r w:rsidRPr="0033122F">
        <w:rPr>
          <w:rFonts w:ascii="Arial" w:hAnsi="Arial" w:cs="Arial"/>
          <w:color w:val="010000"/>
          <w:sz w:val="20"/>
        </w:rPr>
        <w:t>Labor targets, salary fund, remuneration, bonuses implemented in 2023 and Plan of Employees and Company Managers in 2024:</w:t>
      </w:r>
    </w:p>
    <w:p w14:paraId="627CDF0A" w14:textId="77777777" w:rsidR="0074591A" w:rsidRPr="0033122F" w:rsidRDefault="0060624B" w:rsidP="005E7AB7">
      <w:pPr>
        <w:pStyle w:val="Vnbnnidung0"/>
        <w:numPr>
          <w:ilvl w:val="0"/>
          <w:numId w:val="2"/>
        </w:numPr>
        <w:tabs>
          <w:tab w:val="left" w:pos="426"/>
          <w:tab w:val="left" w:pos="1413"/>
        </w:tabs>
        <w:spacing w:after="120" w:line="360" w:lineRule="auto"/>
        <w:ind w:firstLine="0"/>
        <w:jc w:val="both"/>
        <w:rPr>
          <w:rFonts w:ascii="Arial" w:hAnsi="Arial" w:cs="Arial"/>
          <w:color w:val="010000"/>
          <w:sz w:val="20"/>
        </w:rPr>
      </w:pPr>
      <w:r w:rsidRPr="0033122F">
        <w:rPr>
          <w:rFonts w:ascii="Arial" w:hAnsi="Arial" w:cs="Arial"/>
          <w:color w:val="010000"/>
          <w:sz w:val="20"/>
        </w:rPr>
        <w:t>Targets on labor, salary fund, bonuses implemented in 2023 and Plan of Employees in 2024.</w:t>
      </w:r>
    </w:p>
    <w:p w14:paraId="6B85689C" w14:textId="77777777" w:rsidR="0074591A" w:rsidRPr="0033122F" w:rsidRDefault="0060624B" w:rsidP="005E7AB7">
      <w:pPr>
        <w:pStyle w:val="Vnbnnidung0"/>
        <w:numPr>
          <w:ilvl w:val="0"/>
          <w:numId w:val="2"/>
        </w:numPr>
        <w:tabs>
          <w:tab w:val="left" w:pos="426"/>
          <w:tab w:val="left" w:pos="1408"/>
        </w:tabs>
        <w:spacing w:after="120" w:line="360" w:lineRule="auto"/>
        <w:ind w:firstLine="0"/>
        <w:jc w:val="both"/>
        <w:rPr>
          <w:rFonts w:ascii="Arial" w:hAnsi="Arial" w:cs="Arial"/>
          <w:color w:val="010000"/>
          <w:sz w:val="20"/>
        </w:rPr>
      </w:pPr>
      <w:r w:rsidRPr="0033122F">
        <w:rPr>
          <w:rFonts w:ascii="Arial" w:hAnsi="Arial" w:cs="Arial"/>
          <w:color w:val="010000"/>
          <w:sz w:val="20"/>
        </w:rPr>
        <w:t>Targets on labor, salary fund, remuneration, bonuses implemented in 2023 and Plan of the Company Manager in 2024.</w:t>
      </w:r>
    </w:p>
    <w:p w14:paraId="780B0AAD" w14:textId="471A40C6" w:rsidR="0074591A" w:rsidRPr="0033122F" w:rsidRDefault="0060624B" w:rsidP="005E7AB7">
      <w:pPr>
        <w:pStyle w:val="Vnbnnidung0"/>
        <w:numPr>
          <w:ilvl w:val="0"/>
          <w:numId w:val="1"/>
        </w:numPr>
        <w:tabs>
          <w:tab w:val="left" w:pos="426"/>
          <w:tab w:val="left" w:pos="1522"/>
        </w:tabs>
        <w:spacing w:after="120" w:line="360" w:lineRule="auto"/>
        <w:ind w:firstLine="0"/>
        <w:jc w:val="both"/>
        <w:rPr>
          <w:rFonts w:ascii="Arial" w:hAnsi="Arial" w:cs="Arial"/>
          <w:color w:val="010000"/>
          <w:sz w:val="20"/>
        </w:rPr>
      </w:pPr>
      <w:r w:rsidRPr="0033122F">
        <w:rPr>
          <w:rFonts w:ascii="Arial" w:hAnsi="Arial" w:cs="Arial"/>
          <w:color w:val="010000"/>
          <w:sz w:val="20"/>
        </w:rPr>
        <w:t>The salary fund implemented in 2023 as follows:</w:t>
      </w:r>
    </w:p>
    <w:p w14:paraId="5AA57F2A" w14:textId="77777777" w:rsidR="0074591A" w:rsidRPr="0033122F" w:rsidRDefault="0060624B" w:rsidP="005E7AB7">
      <w:pPr>
        <w:pStyle w:val="Vnbnnidung0"/>
        <w:tabs>
          <w:tab w:val="left" w:pos="426"/>
        </w:tabs>
        <w:spacing w:after="120" w:line="360" w:lineRule="auto"/>
        <w:ind w:firstLine="0"/>
        <w:jc w:val="both"/>
        <w:rPr>
          <w:rFonts w:ascii="Arial" w:hAnsi="Arial" w:cs="Arial"/>
          <w:color w:val="010000"/>
          <w:sz w:val="20"/>
        </w:rPr>
      </w:pPr>
      <w:r w:rsidRPr="0033122F">
        <w:rPr>
          <w:rFonts w:ascii="Arial" w:hAnsi="Arial" w:cs="Arial"/>
          <w:color w:val="010000"/>
          <w:sz w:val="20"/>
        </w:rPr>
        <w:t>The total salary fund implemented in 2023 was: VND 84,441,023,856;</w:t>
      </w:r>
    </w:p>
    <w:p w14:paraId="1A0C52E4" w14:textId="77777777" w:rsidR="007E2088" w:rsidRPr="0033122F" w:rsidRDefault="0060624B" w:rsidP="005E7AB7">
      <w:pPr>
        <w:pStyle w:val="Vnbnnidung0"/>
        <w:tabs>
          <w:tab w:val="left" w:pos="426"/>
        </w:tabs>
        <w:spacing w:after="120" w:line="360" w:lineRule="auto"/>
        <w:ind w:firstLine="0"/>
        <w:jc w:val="both"/>
        <w:rPr>
          <w:rFonts w:ascii="Arial" w:hAnsi="Arial" w:cs="Arial"/>
          <w:color w:val="010000"/>
          <w:sz w:val="20"/>
        </w:rPr>
      </w:pPr>
      <w:r w:rsidRPr="0033122F">
        <w:rPr>
          <w:rFonts w:ascii="Arial" w:hAnsi="Arial" w:cs="Arial"/>
          <w:color w:val="010000"/>
          <w:sz w:val="20"/>
        </w:rPr>
        <w:t>In which:</w:t>
      </w:r>
    </w:p>
    <w:p w14:paraId="65D4A621" w14:textId="77777777" w:rsidR="0074591A" w:rsidRPr="0033122F" w:rsidRDefault="0060624B" w:rsidP="005E7AB7">
      <w:pPr>
        <w:pStyle w:val="Vnbnnidung0"/>
        <w:numPr>
          <w:ilvl w:val="0"/>
          <w:numId w:val="2"/>
        </w:numPr>
        <w:tabs>
          <w:tab w:val="left" w:pos="426"/>
          <w:tab w:val="left" w:pos="1737"/>
        </w:tabs>
        <w:spacing w:after="120" w:line="360" w:lineRule="auto"/>
        <w:ind w:firstLine="0"/>
        <w:jc w:val="both"/>
        <w:rPr>
          <w:rFonts w:ascii="Arial" w:hAnsi="Arial" w:cs="Arial"/>
          <w:color w:val="010000"/>
          <w:sz w:val="20"/>
        </w:rPr>
      </w:pPr>
      <w:r w:rsidRPr="0033122F">
        <w:rPr>
          <w:rFonts w:ascii="Arial" w:hAnsi="Arial" w:cs="Arial"/>
          <w:color w:val="010000"/>
          <w:sz w:val="20"/>
        </w:rPr>
        <w:t>Salary fund for employees: VND 81,462,556,656;</w:t>
      </w:r>
    </w:p>
    <w:p w14:paraId="29F62DC3" w14:textId="77777777" w:rsidR="0074591A" w:rsidRPr="0033122F" w:rsidRDefault="0060624B" w:rsidP="005E7AB7">
      <w:pPr>
        <w:pStyle w:val="Vnbnnidung0"/>
        <w:numPr>
          <w:ilvl w:val="0"/>
          <w:numId w:val="3"/>
        </w:numPr>
        <w:tabs>
          <w:tab w:val="left" w:pos="426"/>
        </w:tabs>
        <w:spacing w:after="120" w:line="360" w:lineRule="auto"/>
        <w:ind w:left="0" w:firstLine="0"/>
        <w:jc w:val="both"/>
        <w:rPr>
          <w:rFonts w:ascii="Arial" w:hAnsi="Arial" w:cs="Arial"/>
          <w:color w:val="010000"/>
          <w:sz w:val="20"/>
        </w:rPr>
      </w:pPr>
      <w:r w:rsidRPr="0033122F">
        <w:rPr>
          <w:rFonts w:ascii="Arial" w:hAnsi="Arial" w:cs="Arial"/>
          <w:color w:val="010000"/>
          <w:sz w:val="20"/>
        </w:rPr>
        <w:t>The salary fund of direct employees: VND 76,060,627,156;</w:t>
      </w:r>
    </w:p>
    <w:p w14:paraId="64464949" w14:textId="77777777" w:rsidR="0074591A" w:rsidRPr="0033122F" w:rsidRDefault="0060624B" w:rsidP="005E7AB7">
      <w:pPr>
        <w:pStyle w:val="Vnbnnidung0"/>
        <w:numPr>
          <w:ilvl w:val="0"/>
          <w:numId w:val="3"/>
        </w:numPr>
        <w:tabs>
          <w:tab w:val="left" w:pos="426"/>
        </w:tabs>
        <w:spacing w:after="120" w:line="360" w:lineRule="auto"/>
        <w:ind w:left="0" w:firstLine="0"/>
        <w:jc w:val="both"/>
        <w:rPr>
          <w:rFonts w:ascii="Arial" w:hAnsi="Arial" w:cs="Arial"/>
          <w:color w:val="010000"/>
          <w:sz w:val="20"/>
        </w:rPr>
      </w:pPr>
      <w:r w:rsidRPr="0033122F">
        <w:rPr>
          <w:rFonts w:ascii="Arial" w:hAnsi="Arial" w:cs="Arial"/>
          <w:color w:val="010000"/>
          <w:sz w:val="20"/>
        </w:rPr>
        <w:t>The salary fund of employees working at the Office and Heads and Deputy Heads of affiliated units: VND 5,401,929,500;</w:t>
      </w:r>
    </w:p>
    <w:p w14:paraId="77765F3E" w14:textId="2DA3CA85" w:rsidR="0074591A" w:rsidRPr="0033122F" w:rsidRDefault="0060624B" w:rsidP="005E7AB7">
      <w:pPr>
        <w:pStyle w:val="Vnbnnidung0"/>
        <w:numPr>
          <w:ilvl w:val="0"/>
          <w:numId w:val="2"/>
        </w:numPr>
        <w:tabs>
          <w:tab w:val="left" w:pos="426"/>
          <w:tab w:val="left" w:pos="1742"/>
        </w:tabs>
        <w:spacing w:after="120" w:line="360" w:lineRule="auto"/>
        <w:ind w:firstLine="0"/>
        <w:jc w:val="both"/>
        <w:rPr>
          <w:rFonts w:ascii="Arial" w:hAnsi="Arial" w:cs="Arial"/>
          <w:color w:val="010000"/>
          <w:sz w:val="20"/>
        </w:rPr>
      </w:pPr>
      <w:r w:rsidRPr="0033122F">
        <w:rPr>
          <w:rFonts w:ascii="Arial" w:hAnsi="Arial" w:cs="Arial"/>
          <w:color w:val="010000"/>
          <w:sz w:val="20"/>
        </w:rPr>
        <w:t xml:space="preserve">The salary fund of the executive company manager and executive </w:t>
      </w:r>
      <w:r w:rsidR="0033122F" w:rsidRPr="0033122F">
        <w:rPr>
          <w:rFonts w:ascii="Arial" w:hAnsi="Arial" w:cs="Arial"/>
          <w:color w:val="010000"/>
          <w:sz w:val="20"/>
        </w:rPr>
        <w:t>Chief</w:t>
      </w:r>
      <w:r w:rsidRPr="0033122F">
        <w:rPr>
          <w:rFonts w:ascii="Arial" w:hAnsi="Arial" w:cs="Arial"/>
          <w:color w:val="010000"/>
          <w:sz w:val="20"/>
        </w:rPr>
        <w:t xml:space="preserve"> of the Supervisory Board: VND 2,742,912,000;</w:t>
      </w:r>
    </w:p>
    <w:p w14:paraId="1330B2AE" w14:textId="77777777" w:rsidR="0074591A" w:rsidRPr="0033122F" w:rsidRDefault="0060624B" w:rsidP="005E7AB7">
      <w:pPr>
        <w:pStyle w:val="Vnbnnidung0"/>
        <w:numPr>
          <w:ilvl w:val="0"/>
          <w:numId w:val="2"/>
        </w:numPr>
        <w:tabs>
          <w:tab w:val="left" w:pos="426"/>
          <w:tab w:val="left" w:pos="1738"/>
        </w:tabs>
        <w:spacing w:after="120" w:line="360" w:lineRule="auto"/>
        <w:ind w:firstLine="0"/>
        <w:jc w:val="both"/>
        <w:rPr>
          <w:rFonts w:ascii="Arial" w:hAnsi="Arial" w:cs="Arial"/>
          <w:color w:val="010000"/>
          <w:sz w:val="20"/>
        </w:rPr>
      </w:pPr>
      <w:r w:rsidRPr="0033122F">
        <w:rPr>
          <w:rFonts w:ascii="Arial" w:hAnsi="Arial" w:cs="Arial"/>
          <w:color w:val="010000"/>
          <w:sz w:val="20"/>
        </w:rPr>
        <w:t>The remuneration fund for non-executive company managers and non-executive members of the Supervisory Board: VND 235,555,200;</w:t>
      </w:r>
    </w:p>
    <w:p w14:paraId="4E437914" w14:textId="77777777" w:rsidR="0074591A" w:rsidRPr="0033122F" w:rsidRDefault="0060624B" w:rsidP="005E7AB7">
      <w:pPr>
        <w:pStyle w:val="Vnbnnidung0"/>
        <w:numPr>
          <w:ilvl w:val="0"/>
          <w:numId w:val="1"/>
        </w:numPr>
        <w:tabs>
          <w:tab w:val="left" w:pos="426"/>
          <w:tab w:val="left" w:pos="1838"/>
        </w:tabs>
        <w:spacing w:after="120" w:line="360" w:lineRule="auto"/>
        <w:ind w:firstLine="0"/>
        <w:jc w:val="both"/>
        <w:rPr>
          <w:rFonts w:ascii="Arial" w:hAnsi="Arial" w:cs="Arial"/>
          <w:color w:val="010000"/>
          <w:sz w:val="20"/>
        </w:rPr>
      </w:pPr>
      <w:r w:rsidRPr="0033122F">
        <w:rPr>
          <w:rFonts w:ascii="Arial" w:hAnsi="Arial" w:cs="Arial"/>
          <w:color w:val="010000"/>
          <w:sz w:val="20"/>
        </w:rPr>
        <w:t>Time to distribute the remaining real salary fund of 2023 to employees and company managers according to regulations.</w:t>
      </w:r>
    </w:p>
    <w:p w14:paraId="0D88D321" w14:textId="77777777" w:rsidR="0074591A" w:rsidRPr="0033122F" w:rsidRDefault="0060624B" w:rsidP="005E7AB7">
      <w:pPr>
        <w:pStyle w:val="Vnbnnidung0"/>
        <w:tabs>
          <w:tab w:val="left" w:pos="426"/>
        </w:tabs>
        <w:spacing w:after="120" w:line="360" w:lineRule="auto"/>
        <w:ind w:firstLine="0"/>
        <w:jc w:val="both"/>
        <w:rPr>
          <w:rFonts w:ascii="Arial" w:hAnsi="Arial" w:cs="Arial"/>
          <w:color w:val="010000"/>
          <w:sz w:val="20"/>
        </w:rPr>
      </w:pPr>
      <w:r w:rsidRPr="0033122F">
        <w:rPr>
          <w:rFonts w:ascii="Arial" w:hAnsi="Arial" w:cs="Arial"/>
          <w:color w:val="010000"/>
          <w:sz w:val="20"/>
        </w:rPr>
        <w:t>‎‎Article 2. Assign members of the Board of Directors and Board of Managers of the company to direct the implementation of the contents specified in Article 1 of this Resolution.</w:t>
      </w:r>
    </w:p>
    <w:p w14:paraId="55184AD1" w14:textId="77777777" w:rsidR="0074591A" w:rsidRPr="0033122F" w:rsidRDefault="0060624B" w:rsidP="005E7AB7">
      <w:pPr>
        <w:pStyle w:val="Vnbnnidung0"/>
        <w:tabs>
          <w:tab w:val="left" w:pos="426"/>
        </w:tabs>
        <w:spacing w:after="120" w:line="360" w:lineRule="auto"/>
        <w:ind w:firstLine="0"/>
        <w:jc w:val="both"/>
        <w:rPr>
          <w:rFonts w:ascii="Arial" w:hAnsi="Arial" w:cs="Arial"/>
          <w:color w:val="010000"/>
          <w:sz w:val="20"/>
        </w:rPr>
      </w:pPr>
      <w:r w:rsidRPr="0033122F">
        <w:rPr>
          <w:rFonts w:ascii="Arial" w:hAnsi="Arial" w:cs="Arial"/>
          <w:color w:val="010000"/>
          <w:sz w:val="20"/>
        </w:rPr>
        <w:t>‎‎Article 3. This Resolution takes effect from the date of its signing. Members of the Board of Directors, the Board of Managers, the heads of functional departments, related units and related organizations and individuals are responsible for implementing this Resolution.</w:t>
      </w:r>
    </w:p>
    <w:sectPr w:rsidR="0074591A" w:rsidRPr="0033122F" w:rsidSect="005E7AB7">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5569F" w14:textId="77777777" w:rsidR="00E2662C" w:rsidRDefault="00E2662C">
      <w:r>
        <w:separator/>
      </w:r>
    </w:p>
  </w:endnote>
  <w:endnote w:type="continuationSeparator" w:id="0">
    <w:p w14:paraId="07230C8A" w14:textId="77777777" w:rsidR="00E2662C" w:rsidRDefault="00E2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D8EA0" w14:textId="77777777" w:rsidR="00E2662C" w:rsidRDefault="00E2662C"/>
  </w:footnote>
  <w:footnote w:type="continuationSeparator" w:id="0">
    <w:p w14:paraId="67D8B821" w14:textId="77777777" w:rsidR="00E2662C" w:rsidRDefault="00E266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55537"/>
    <w:multiLevelType w:val="hybridMultilevel"/>
    <w:tmpl w:val="3334AC1E"/>
    <w:lvl w:ilvl="0" w:tplc="8BC8E912">
      <w:numFmt w:val="bullet"/>
      <w:lvlText w:val="+"/>
      <w:lvlJc w:val="left"/>
      <w:pPr>
        <w:ind w:left="720" w:hanging="360"/>
      </w:pPr>
      <w:rPr>
        <w:rFonts w:ascii="Arial" w:eastAsia="Courier New" w:hAnsi="Arial" w:hint="default"/>
        <w:b w:val="0"/>
        <w:i w:val="0"/>
        <w:sz w:val="20"/>
      </w:rPr>
    </w:lvl>
    <w:lvl w:ilvl="1" w:tplc="E6D867F4" w:tentative="1">
      <w:start w:val="1"/>
      <w:numFmt w:val="bullet"/>
      <w:lvlText w:val="o"/>
      <w:lvlJc w:val="left"/>
      <w:pPr>
        <w:ind w:left="1440" w:hanging="360"/>
      </w:pPr>
      <w:rPr>
        <w:rFonts w:ascii="Courier New" w:hAnsi="Courier New" w:cs="Courier New" w:hint="default"/>
        <w:b w:val="0"/>
        <w:i w:val="0"/>
        <w:sz w:val="20"/>
      </w:rPr>
    </w:lvl>
    <w:lvl w:ilvl="2" w:tplc="A9AA898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86D8F"/>
    <w:multiLevelType w:val="multilevel"/>
    <w:tmpl w:val="87124FC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5C0BA7"/>
    <w:multiLevelType w:val="multilevel"/>
    <w:tmpl w:val="6882AB80"/>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1A"/>
    <w:rsid w:val="00030059"/>
    <w:rsid w:val="0033122F"/>
    <w:rsid w:val="005E7AB7"/>
    <w:rsid w:val="0060624B"/>
    <w:rsid w:val="0074591A"/>
    <w:rsid w:val="007E2088"/>
    <w:rsid w:val="009C5972"/>
    <w:rsid w:val="00C17133"/>
    <w:rsid w:val="00E26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6F9C9"/>
  <w15:docId w15:val="{0727E628-2F36-422F-B8AF-7037EE05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0000FB"/>
      <w:sz w:val="16"/>
      <w:szCs w:val="1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6A757E"/>
      <w:sz w:val="28"/>
      <w:szCs w:val="2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20">
    <w:name w:val="Văn bản nội dung (2)"/>
    <w:basedOn w:val="Normal"/>
    <w:link w:val="Vnbnnidung2"/>
    <w:pPr>
      <w:ind w:left="5320" w:firstLine="20"/>
    </w:pPr>
    <w:rPr>
      <w:rFonts w:ascii="Times New Roman" w:eastAsia="Times New Roman" w:hAnsi="Times New Roman" w:cs="Times New Roman"/>
      <w:b/>
      <w:bCs/>
      <w:color w:val="0000FB"/>
      <w:sz w:val="16"/>
      <w:szCs w:val="16"/>
    </w:rPr>
  </w:style>
  <w:style w:type="paragraph" w:customStyle="1" w:styleId="Vnbnnidung0">
    <w:name w:val="Văn bản nội dung"/>
    <w:basedOn w:val="Normal"/>
    <w:link w:val="Vnbnnidung"/>
    <w:pPr>
      <w:spacing w:line="288"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52" w:lineRule="auto"/>
      <w:ind w:left="570"/>
      <w:jc w:val="center"/>
      <w:outlineLvl w:val="0"/>
    </w:pPr>
    <w:rPr>
      <w:rFonts w:ascii="Times New Roman" w:eastAsia="Times New Roman" w:hAnsi="Times New Roman" w:cs="Times New Roman"/>
      <w:b/>
      <w:bCs/>
      <w:color w:val="6A757E"/>
      <w:sz w:val="28"/>
      <w:szCs w:val="28"/>
    </w:rPr>
  </w:style>
  <w:style w:type="paragraph" w:customStyle="1" w:styleId="Vnbnnidung30">
    <w:name w:val="Văn bản nội dung (3)"/>
    <w:basedOn w:val="Normal"/>
    <w:link w:val="Vnbnnidung3"/>
    <w:pPr>
      <w:ind w:firstLine="76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2024-04-02T04:12:00Z</dcterms:created>
  <dcterms:modified xsi:type="dcterms:W3CDTF">2024-04-02T04:12:00Z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9901d6563aa10cd4763818e5deb523266a24676ba0089d578bd6140b3d28c650</vt:lpwstr>
  </property>
</Properties>
</file>