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41F9B"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proofErr w:type="spellStart"/>
      <w:r w:rsidRPr="0024237B">
        <w:rPr>
          <w:rFonts w:ascii="Arial" w:hAnsi="Arial" w:cs="Arial"/>
          <w:b/>
          <w:color w:val="010000"/>
          <w:sz w:val="20"/>
        </w:rPr>
        <w:t>MRF</w:t>
      </w:r>
      <w:proofErr w:type="spellEnd"/>
      <w:r w:rsidRPr="0024237B">
        <w:rPr>
          <w:rFonts w:ascii="Arial" w:hAnsi="Arial" w:cs="Arial"/>
          <w:b/>
          <w:color w:val="010000"/>
          <w:sz w:val="20"/>
        </w:rPr>
        <w:t>: Board Resolution</w:t>
      </w:r>
    </w:p>
    <w:p w14:paraId="76941F9C"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 xml:space="preserve">On March 28, 2024, </w:t>
      </w:r>
      <w:proofErr w:type="spellStart"/>
      <w:r w:rsidRPr="0024237B">
        <w:rPr>
          <w:rFonts w:ascii="Arial" w:hAnsi="Arial" w:cs="Arial"/>
          <w:color w:val="010000"/>
          <w:sz w:val="20"/>
        </w:rPr>
        <w:t>Merufa</w:t>
      </w:r>
      <w:proofErr w:type="spellEnd"/>
      <w:r w:rsidRPr="0024237B">
        <w:rPr>
          <w:rFonts w:ascii="Arial" w:hAnsi="Arial" w:cs="Arial"/>
          <w:color w:val="010000"/>
          <w:sz w:val="20"/>
        </w:rPr>
        <w:t xml:space="preserve"> Joint Stock Company announced Resolution No. 198/24/NQ-</w:t>
      </w:r>
      <w:proofErr w:type="spellStart"/>
      <w:r w:rsidRPr="0024237B">
        <w:rPr>
          <w:rFonts w:ascii="Arial" w:hAnsi="Arial" w:cs="Arial"/>
          <w:color w:val="010000"/>
          <w:sz w:val="20"/>
        </w:rPr>
        <w:t>HDQT</w:t>
      </w:r>
      <w:proofErr w:type="spellEnd"/>
      <w:r w:rsidRPr="0024237B">
        <w:rPr>
          <w:rFonts w:ascii="Arial" w:hAnsi="Arial" w:cs="Arial"/>
          <w:color w:val="010000"/>
          <w:sz w:val="20"/>
        </w:rPr>
        <w:t xml:space="preserve"> as follows:</w:t>
      </w:r>
    </w:p>
    <w:p w14:paraId="76941F9D"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Article 1: The Board of Directors approves the Annual Report 2023.</w:t>
      </w:r>
    </w:p>
    <w:p w14:paraId="76941F9E"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 xml:space="preserve">Article 2: The Board of Directors approves the 2024 plan as follows: Revenue: </w:t>
      </w:r>
      <w:proofErr w:type="spellStart"/>
      <w:r w:rsidRPr="0024237B">
        <w:rPr>
          <w:rFonts w:ascii="Arial" w:hAnsi="Arial" w:cs="Arial"/>
          <w:color w:val="010000"/>
          <w:sz w:val="20"/>
        </w:rPr>
        <w:t>VND</w:t>
      </w:r>
      <w:proofErr w:type="spellEnd"/>
      <w:r w:rsidRPr="0024237B">
        <w:rPr>
          <w:rFonts w:ascii="Arial" w:hAnsi="Arial" w:cs="Arial"/>
          <w:color w:val="010000"/>
          <w:sz w:val="20"/>
        </w:rPr>
        <w:t xml:space="preserve"> 133 billion, Profit before tax: </w:t>
      </w:r>
      <w:proofErr w:type="spellStart"/>
      <w:r w:rsidRPr="0024237B">
        <w:rPr>
          <w:rFonts w:ascii="Arial" w:hAnsi="Arial" w:cs="Arial"/>
          <w:color w:val="010000"/>
          <w:sz w:val="20"/>
        </w:rPr>
        <w:t>VND</w:t>
      </w:r>
      <w:proofErr w:type="spellEnd"/>
      <w:r w:rsidRPr="0024237B">
        <w:rPr>
          <w:rFonts w:ascii="Arial" w:hAnsi="Arial" w:cs="Arial"/>
          <w:color w:val="010000"/>
          <w:sz w:val="20"/>
        </w:rPr>
        <w:t xml:space="preserve"> 7.0 billion.</w:t>
      </w:r>
    </w:p>
    <w:p w14:paraId="76941F9F"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Article 3: The Board of Directors approves the invitation letter and documents for the Annual General Meeting of Shareholders 2024 as follows:</w:t>
      </w:r>
    </w:p>
    <w:p w14:paraId="76941FA0"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Report of the Board of Directors in 2023 and the 2024 plan.</w:t>
      </w:r>
    </w:p>
    <w:p w14:paraId="76941FA1"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Report on performance in 2023 and 2024 plan of the Supervisory Board.</w:t>
      </w:r>
    </w:p>
    <w:p w14:paraId="76941FA2"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The Company's Financial Settlement Report 2023 (audited).</w:t>
      </w:r>
    </w:p>
    <w:p w14:paraId="76941FA3"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Report on the implementation of the General Mandate 2023 of the Board of Directors; 2024 Plan and development orientation</w:t>
      </w:r>
    </w:p>
    <w:p w14:paraId="76941FA4"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Proposal on approving Reports of the Board of Directors.</w:t>
      </w:r>
    </w:p>
    <w:p w14:paraId="76941FA5"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Proposal on approving the Audited Financial Statements 2023;</w:t>
      </w:r>
    </w:p>
    <w:p w14:paraId="76941FA6"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Proposal on profit distribution and dividend payment in 2023.</w:t>
      </w:r>
    </w:p>
    <w:p w14:paraId="76941FA7"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Proposal on approving the profit distribution plan 2024.</w:t>
      </w:r>
    </w:p>
    <w:p w14:paraId="76941FA8" w14:textId="77777777" w:rsidR="00BF4DDC" w:rsidRPr="0024237B" w:rsidRDefault="00FA6728" w:rsidP="00FA6728">
      <w:pPr>
        <w:numPr>
          <w:ilvl w:val="0"/>
          <w:numId w:val="1"/>
        </w:numPr>
        <w:pBdr>
          <w:top w:val="nil"/>
          <w:left w:val="nil"/>
          <w:bottom w:val="nil"/>
          <w:right w:val="nil"/>
          <w:between w:val="nil"/>
        </w:pBdr>
        <w:tabs>
          <w:tab w:val="left" w:pos="284"/>
          <w:tab w:val="left" w:pos="1782"/>
        </w:tabs>
        <w:spacing w:after="120" w:line="360" w:lineRule="auto"/>
        <w:jc w:val="both"/>
        <w:rPr>
          <w:rFonts w:ascii="Arial" w:eastAsia="Arial" w:hAnsi="Arial" w:cs="Arial"/>
          <w:color w:val="010000"/>
          <w:sz w:val="20"/>
          <w:szCs w:val="20"/>
        </w:rPr>
      </w:pPr>
      <w:r w:rsidRPr="0024237B">
        <w:rPr>
          <w:rFonts w:ascii="Arial" w:hAnsi="Arial" w:cs="Arial"/>
          <w:color w:val="010000"/>
          <w:sz w:val="20"/>
        </w:rPr>
        <w:t xml:space="preserve">Proposal on the Report 2023 and the selection of </w:t>
      </w:r>
      <w:proofErr w:type="gramStart"/>
      <w:r w:rsidRPr="0024237B">
        <w:rPr>
          <w:rFonts w:ascii="Arial" w:hAnsi="Arial" w:cs="Arial"/>
          <w:color w:val="010000"/>
          <w:sz w:val="20"/>
        </w:rPr>
        <w:t>audit company</w:t>
      </w:r>
      <w:proofErr w:type="gramEnd"/>
      <w:r w:rsidRPr="0024237B">
        <w:rPr>
          <w:rFonts w:ascii="Arial" w:hAnsi="Arial" w:cs="Arial"/>
          <w:color w:val="010000"/>
          <w:sz w:val="20"/>
        </w:rPr>
        <w:t xml:space="preserve"> for 2024 of the Supervisory Board.</w:t>
      </w:r>
    </w:p>
    <w:p w14:paraId="76941FA9" w14:textId="77777777" w:rsidR="00BF4DDC" w:rsidRPr="0024237B" w:rsidRDefault="00FA6728" w:rsidP="00FA6728">
      <w:pPr>
        <w:numPr>
          <w:ilvl w:val="0"/>
          <w:numId w:val="1"/>
        </w:numPr>
        <w:pBdr>
          <w:top w:val="nil"/>
          <w:left w:val="nil"/>
          <w:bottom w:val="nil"/>
          <w:right w:val="nil"/>
          <w:between w:val="nil"/>
        </w:pBdr>
        <w:tabs>
          <w:tab w:val="left" w:pos="284"/>
          <w:tab w:val="left" w:pos="1832"/>
        </w:tabs>
        <w:spacing w:after="120" w:line="360" w:lineRule="auto"/>
        <w:jc w:val="both"/>
        <w:rPr>
          <w:rFonts w:ascii="Arial" w:eastAsia="Arial" w:hAnsi="Arial" w:cs="Arial"/>
          <w:color w:val="010000"/>
          <w:sz w:val="20"/>
          <w:szCs w:val="20"/>
        </w:rPr>
      </w:pPr>
      <w:r w:rsidRPr="0024237B">
        <w:rPr>
          <w:rFonts w:ascii="Arial" w:hAnsi="Arial" w:cs="Arial"/>
          <w:color w:val="010000"/>
          <w:sz w:val="20"/>
        </w:rPr>
        <w:t xml:space="preserve">Proposal on terminating the transfer of stock exchange from </w:t>
      </w:r>
      <w:proofErr w:type="spellStart"/>
      <w:r w:rsidRPr="0024237B">
        <w:rPr>
          <w:rFonts w:ascii="Arial" w:hAnsi="Arial" w:cs="Arial"/>
          <w:color w:val="010000"/>
          <w:sz w:val="20"/>
        </w:rPr>
        <w:t>Upcom</w:t>
      </w:r>
      <w:proofErr w:type="spellEnd"/>
      <w:r w:rsidRPr="0024237B">
        <w:rPr>
          <w:rFonts w:ascii="Arial" w:hAnsi="Arial" w:cs="Arial"/>
          <w:color w:val="010000"/>
          <w:sz w:val="20"/>
        </w:rPr>
        <w:t xml:space="preserve"> to </w:t>
      </w:r>
      <w:proofErr w:type="spellStart"/>
      <w:r w:rsidRPr="0024237B">
        <w:rPr>
          <w:rFonts w:ascii="Arial" w:hAnsi="Arial" w:cs="Arial"/>
          <w:color w:val="010000"/>
          <w:sz w:val="20"/>
        </w:rPr>
        <w:t>HNX</w:t>
      </w:r>
      <w:proofErr w:type="spellEnd"/>
    </w:p>
    <w:p w14:paraId="76941FAA" w14:textId="77777777" w:rsidR="00BF4DDC" w:rsidRPr="0024237B" w:rsidRDefault="00FA6728" w:rsidP="00FA6728">
      <w:pPr>
        <w:numPr>
          <w:ilvl w:val="0"/>
          <w:numId w:val="1"/>
        </w:numPr>
        <w:pBdr>
          <w:top w:val="nil"/>
          <w:left w:val="nil"/>
          <w:bottom w:val="nil"/>
          <w:right w:val="nil"/>
          <w:between w:val="nil"/>
        </w:pBdr>
        <w:tabs>
          <w:tab w:val="left" w:pos="284"/>
          <w:tab w:val="left" w:pos="1839"/>
        </w:tabs>
        <w:spacing w:after="120" w:line="360" w:lineRule="auto"/>
        <w:jc w:val="both"/>
        <w:rPr>
          <w:rFonts w:ascii="Arial" w:eastAsia="Arial" w:hAnsi="Arial" w:cs="Arial"/>
          <w:color w:val="010000"/>
          <w:sz w:val="20"/>
          <w:szCs w:val="20"/>
        </w:rPr>
      </w:pPr>
      <w:r w:rsidRPr="0024237B">
        <w:rPr>
          <w:rFonts w:ascii="Arial" w:hAnsi="Arial" w:cs="Arial"/>
          <w:color w:val="010000"/>
          <w:sz w:val="20"/>
        </w:rPr>
        <w:t xml:space="preserve">Proposal on approving transactions of </w:t>
      </w:r>
      <w:proofErr w:type="spellStart"/>
      <w:r w:rsidRPr="0024237B">
        <w:rPr>
          <w:rFonts w:ascii="Arial" w:hAnsi="Arial" w:cs="Arial"/>
          <w:color w:val="010000"/>
          <w:sz w:val="20"/>
        </w:rPr>
        <w:t>PDMR</w:t>
      </w:r>
      <w:proofErr w:type="spellEnd"/>
      <w:r w:rsidRPr="0024237B">
        <w:rPr>
          <w:rFonts w:ascii="Arial" w:hAnsi="Arial" w:cs="Arial"/>
          <w:color w:val="010000"/>
          <w:sz w:val="20"/>
        </w:rPr>
        <w:t xml:space="preserve"> and related persons.</w:t>
      </w:r>
    </w:p>
    <w:p w14:paraId="76941FAB" w14:textId="77777777" w:rsidR="00BF4DDC" w:rsidRPr="0024237B" w:rsidRDefault="00FA6728" w:rsidP="00FA6728">
      <w:pPr>
        <w:numPr>
          <w:ilvl w:val="0"/>
          <w:numId w:val="1"/>
        </w:numPr>
        <w:pBdr>
          <w:top w:val="nil"/>
          <w:left w:val="nil"/>
          <w:bottom w:val="nil"/>
          <w:right w:val="nil"/>
          <w:between w:val="nil"/>
        </w:pBdr>
        <w:tabs>
          <w:tab w:val="left" w:pos="284"/>
          <w:tab w:val="left" w:pos="1839"/>
        </w:tabs>
        <w:spacing w:after="120" w:line="360" w:lineRule="auto"/>
        <w:jc w:val="both"/>
        <w:rPr>
          <w:rFonts w:ascii="Arial" w:eastAsia="Arial" w:hAnsi="Arial" w:cs="Arial"/>
          <w:color w:val="010000"/>
          <w:sz w:val="20"/>
          <w:szCs w:val="20"/>
        </w:rPr>
      </w:pPr>
      <w:r w:rsidRPr="0024237B">
        <w:rPr>
          <w:rFonts w:ascii="Arial" w:hAnsi="Arial" w:cs="Arial"/>
          <w:color w:val="010000"/>
          <w:sz w:val="20"/>
        </w:rPr>
        <w:t>Proposal on approving the Report on bonus distribution of the Board of Directors and the Supervisory Board in 2024</w:t>
      </w:r>
    </w:p>
    <w:p w14:paraId="76941FAC" w14:textId="77777777" w:rsidR="00BF4DDC" w:rsidRPr="0024237B" w:rsidRDefault="00FA6728" w:rsidP="00FA6728">
      <w:pPr>
        <w:numPr>
          <w:ilvl w:val="0"/>
          <w:numId w:val="1"/>
        </w:numPr>
        <w:pBdr>
          <w:top w:val="nil"/>
          <w:left w:val="nil"/>
          <w:bottom w:val="nil"/>
          <w:right w:val="nil"/>
          <w:between w:val="nil"/>
        </w:pBdr>
        <w:tabs>
          <w:tab w:val="left" w:pos="284"/>
          <w:tab w:val="left" w:pos="1839"/>
        </w:tabs>
        <w:spacing w:after="120" w:line="360" w:lineRule="auto"/>
        <w:jc w:val="both"/>
        <w:rPr>
          <w:rFonts w:ascii="Arial" w:eastAsia="Arial" w:hAnsi="Arial" w:cs="Arial"/>
          <w:color w:val="010000"/>
          <w:sz w:val="20"/>
          <w:szCs w:val="20"/>
        </w:rPr>
      </w:pPr>
      <w:r w:rsidRPr="0024237B">
        <w:rPr>
          <w:rFonts w:ascii="Arial" w:hAnsi="Arial" w:cs="Arial"/>
          <w:color w:val="010000"/>
          <w:sz w:val="20"/>
        </w:rPr>
        <w:t>Approve the Minutes of the Annual General Meeting of Shareholders 2024.</w:t>
      </w:r>
    </w:p>
    <w:p w14:paraId="76941FAD" w14:textId="77777777" w:rsidR="00BF4DDC" w:rsidRPr="0024237B" w:rsidRDefault="00FA6728" w:rsidP="00FA6728">
      <w:pPr>
        <w:numPr>
          <w:ilvl w:val="0"/>
          <w:numId w:val="1"/>
        </w:numPr>
        <w:pBdr>
          <w:top w:val="nil"/>
          <w:left w:val="nil"/>
          <w:bottom w:val="nil"/>
          <w:right w:val="nil"/>
          <w:between w:val="nil"/>
        </w:pBdr>
        <w:tabs>
          <w:tab w:val="left" w:pos="284"/>
          <w:tab w:val="left" w:pos="1839"/>
        </w:tabs>
        <w:spacing w:after="120" w:line="360" w:lineRule="auto"/>
        <w:jc w:val="both"/>
        <w:rPr>
          <w:rFonts w:ascii="Arial" w:eastAsia="Arial" w:hAnsi="Arial" w:cs="Arial"/>
          <w:color w:val="010000"/>
          <w:sz w:val="20"/>
          <w:szCs w:val="20"/>
        </w:rPr>
      </w:pPr>
      <w:r w:rsidRPr="0024237B">
        <w:rPr>
          <w:rFonts w:ascii="Arial" w:hAnsi="Arial" w:cs="Arial"/>
          <w:color w:val="010000"/>
          <w:sz w:val="20"/>
        </w:rPr>
        <w:t>Approve the Annual General Mandate 2024.</w:t>
      </w:r>
    </w:p>
    <w:p w14:paraId="76941FAE"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Article 3: The Board of Directors approves the Audited Financial Statements 2023 and submits to the Annual General Meeting of Shareholders 2024 for approval.</w:t>
      </w:r>
    </w:p>
    <w:p w14:paraId="76941FAF"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Article 4: The Board of Directors authorizes the General Manager (if there are errors or supplements to the content in the Annual General Meeting of Shareholders' documents) to make updates and adjustments, submit them to the Board of Directors for consideration and approval and disclose information and documents according to regulations.</w:t>
      </w:r>
    </w:p>
    <w:p w14:paraId="76941FB0"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 xml:space="preserve">Article 5: The Board of Directors requests the Company to carry out relevant legal procedures and disclose information according to regulations. Members of the Board of Directors, the Board of Management and relevant departments and individuals are responsible for implementing this </w:t>
      </w:r>
      <w:r w:rsidRPr="0024237B">
        <w:rPr>
          <w:rFonts w:ascii="Arial" w:hAnsi="Arial" w:cs="Arial"/>
          <w:color w:val="010000"/>
          <w:sz w:val="20"/>
        </w:rPr>
        <w:lastRenderedPageBreak/>
        <w:t>Resolution.</w:t>
      </w:r>
    </w:p>
    <w:p w14:paraId="76941FB1" w14:textId="77777777" w:rsidR="00BF4DDC" w:rsidRPr="0024237B" w:rsidRDefault="00FA6728" w:rsidP="00FA672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4237B">
        <w:rPr>
          <w:rFonts w:ascii="Arial" w:hAnsi="Arial" w:cs="Arial"/>
          <w:color w:val="010000"/>
          <w:sz w:val="20"/>
        </w:rPr>
        <w:t>This Resolution takes effect from the date of its signing</w:t>
      </w:r>
      <w:proofErr w:type="gramStart"/>
      <w:r w:rsidRPr="0024237B">
        <w:rPr>
          <w:rFonts w:ascii="Arial" w:hAnsi="Arial" w:cs="Arial"/>
          <w:color w:val="010000"/>
          <w:sz w:val="20"/>
        </w:rPr>
        <w:t>./</w:t>
      </w:r>
      <w:proofErr w:type="gramEnd"/>
      <w:r w:rsidRPr="0024237B">
        <w:rPr>
          <w:rFonts w:ascii="Arial" w:hAnsi="Arial" w:cs="Arial"/>
          <w:color w:val="010000"/>
          <w:sz w:val="20"/>
        </w:rPr>
        <w:t>.</w:t>
      </w:r>
    </w:p>
    <w:sectPr w:rsidR="00BF4DDC" w:rsidRPr="0024237B" w:rsidSect="00FA672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A7AA3"/>
    <w:multiLevelType w:val="multilevel"/>
    <w:tmpl w:val="3E4421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DC"/>
    <w:rsid w:val="0024237B"/>
    <w:rsid w:val="008F57A4"/>
    <w:rsid w:val="00BF4DDC"/>
    <w:rsid w:val="00FA672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1F9B"/>
  <w15:docId w15:val="{089A5DAE-7C04-46D6-A747-95BD20E6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1"/>
      <w:szCs w:val="11"/>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9"/>
      <w:szCs w:val="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ind w:firstLine="150"/>
    </w:pPr>
    <w:rPr>
      <w:rFonts w:ascii="Times New Roman" w:eastAsia="Times New Roman" w:hAnsi="Times New Roman" w:cs="Times New Roman"/>
    </w:rPr>
  </w:style>
  <w:style w:type="paragraph" w:customStyle="1" w:styleId="Vnbnnidung20">
    <w:name w:val="Văn bản nội dung (2)"/>
    <w:basedOn w:val="Normal"/>
    <w:link w:val="Vnbnnidung2"/>
    <w:pPr>
      <w:spacing w:line="271" w:lineRule="auto"/>
    </w:pPr>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spacing w:line="226" w:lineRule="auto"/>
      <w:ind w:left="780" w:firstLine="80"/>
    </w:pPr>
    <w:rPr>
      <w:rFonts w:ascii="Arial" w:eastAsia="Arial" w:hAnsi="Arial" w:cs="Arial"/>
      <w:b/>
      <w:bCs/>
      <w:sz w:val="11"/>
      <w:szCs w:val="11"/>
    </w:rPr>
  </w:style>
  <w:style w:type="paragraph" w:customStyle="1" w:styleId="Tiu10">
    <w:name w:val="Tiêu đề #1"/>
    <w:basedOn w:val="Normal"/>
    <w:link w:val="Tiu1"/>
    <w:pPr>
      <w:spacing w:line="221" w:lineRule="auto"/>
      <w:outlineLvl w:val="0"/>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pPr>
      <w:ind w:left="1560"/>
    </w:pPr>
    <w:rPr>
      <w:rFonts w:ascii="Arial" w:eastAsia="Arial" w:hAnsi="Arial" w:cs="Arial"/>
      <w:b/>
      <w:bCs/>
      <w:sz w:val="9"/>
      <w:szCs w:val="9"/>
    </w:rPr>
  </w:style>
  <w:style w:type="paragraph" w:customStyle="1" w:styleId="Tiu20">
    <w:name w:val="Tiêu đề #2"/>
    <w:basedOn w:val="Normal"/>
    <w:link w:val="Tiu2"/>
    <w:pPr>
      <w:ind w:left="4600"/>
      <w:outlineLvl w:val="1"/>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2gr0btWygkCf6hZ3at+qTX1Ug==">CgMxLjAyCGguZ2pkZ3hzOAByITFLSmZEb2VObDVtOUZ4LVhpT1hqMGRrSV95YTFoZGE5Yw==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2024-04-02T04:13:00Z</dcterms:created>
  <dcterms:modified xsi:type="dcterms:W3CDTF">2024-04-02T04:13:00Z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1a1e9dbe30c7a56b85dfb01387bdd2c060e033c4275cdd90751057804a520fbf</vt:lpwstr>
  </property>
</Properties>
</file>