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5F5A" w:rsidRDefault="008340C8" w:rsidP="008340C8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>
        <w:rPr>
          <w:rFonts w:ascii="Arial" w:hAnsi="Arial"/>
          <w:b/>
          <w:color w:val="010000"/>
          <w:sz w:val="20"/>
        </w:rPr>
        <w:t>TDN: Board Resolution</w:t>
      </w:r>
    </w:p>
    <w:p w14:paraId="00000002" w14:textId="77777777" w:rsidR="000D5F5A" w:rsidRDefault="008340C8" w:rsidP="008340C8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On March 27, 2024, </w:t>
      </w:r>
      <w:proofErr w:type="spellStart"/>
      <w:r>
        <w:rPr>
          <w:rFonts w:ascii="Arial" w:hAnsi="Arial"/>
          <w:color w:val="010000"/>
          <w:sz w:val="20"/>
        </w:rPr>
        <w:t>Vinacomin</w:t>
      </w:r>
      <w:proofErr w:type="spellEnd"/>
      <w:r>
        <w:rPr>
          <w:rFonts w:ascii="Arial" w:hAnsi="Arial"/>
          <w:color w:val="010000"/>
          <w:sz w:val="20"/>
        </w:rPr>
        <w:t xml:space="preserve"> - </w:t>
      </w:r>
      <w:proofErr w:type="spellStart"/>
      <w:r>
        <w:rPr>
          <w:rFonts w:ascii="Arial" w:hAnsi="Arial"/>
          <w:color w:val="010000"/>
          <w:sz w:val="20"/>
        </w:rPr>
        <w:t>DeoNai</w:t>
      </w:r>
      <w:proofErr w:type="spellEnd"/>
      <w:r>
        <w:rPr>
          <w:rFonts w:ascii="Arial" w:hAnsi="Arial"/>
          <w:color w:val="010000"/>
          <w:sz w:val="20"/>
        </w:rPr>
        <w:t xml:space="preserve"> Coal JSC announced Board Resolution No. 06.1/NQ-HDQT as follows: </w:t>
      </w:r>
    </w:p>
    <w:p w14:paraId="00000003" w14:textId="77777777" w:rsidR="000D5F5A" w:rsidRDefault="008340C8" w:rsidP="008340C8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‎‎Article 1. The Board of Directors of </w:t>
      </w:r>
      <w:proofErr w:type="spellStart"/>
      <w:r>
        <w:rPr>
          <w:rFonts w:ascii="Arial" w:hAnsi="Arial"/>
          <w:color w:val="010000"/>
          <w:sz w:val="20"/>
        </w:rPr>
        <w:t>Vinacomin</w:t>
      </w:r>
      <w:proofErr w:type="spellEnd"/>
      <w:r>
        <w:rPr>
          <w:rFonts w:ascii="Arial" w:hAnsi="Arial"/>
          <w:color w:val="010000"/>
          <w:sz w:val="20"/>
        </w:rPr>
        <w:t xml:space="preserve"> - </w:t>
      </w:r>
      <w:proofErr w:type="spellStart"/>
      <w:r>
        <w:rPr>
          <w:rFonts w:ascii="Arial" w:hAnsi="Arial"/>
          <w:color w:val="010000"/>
          <w:sz w:val="20"/>
        </w:rPr>
        <w:t>DeoNai</w:t>
      </w:r>
      <w:proofErr w:type="spellEnd"/>
      <w:r>
        <w:rPr>
          <w:rFonts w:ascii="Arial" w:hAnsi="Arial"/>
          <w:color w:val="010000"/>
          <w:sz w:val="20"/>
        </w:rPr>
        <w:t xml:space="preserve"> Coal JSC approved the General Mandate 2024 with the following contents:</w:t>
      </w:r>
    </w:p>
    <w:p w14:paraId="00000004" w14:textId="6703B656" w:rsidR="000D5F5A" w:rsidRDefault="008340C8" w:rsidP="008340C8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After the report about the preparation for the Meeting according to the Plan No. 754/KH-TDN dated February 5, 2024 of the Board of Directors on “the Plan on convening</w:t>
      </w:r>
      <w:r>
        <w:rPr>
          <w:rFonts w:ascii="Arial" w:hAnsi="Arial"/>
          <w:color w:val="010000"/>
          <w:sz w:val="20"/>
        </w:rPr>
        <w:t xml:space="preserve"> the Annual General Meeting</w:t>
      </w:r>
      <w:r>
        <w:rPr>
          <w:rFonts w:ascii="Arial" w:hAnsi="Arial"/>
          <w:color w:val="010000"/>
          <w:sz w:val="20"/>
        </w:rPr>
        <w:t xml:space="preserve"> 2024”</w:t>
      </w:r>
      <w:r>
        <w:rPr>
          <w:rFonts w:ascii="Arial" w:hAnsi="Arial"/>
          <w:color w:val="010000"/>
          <w:sz w:val="20"/>
        </w:rPr>
        <w:t xml:space="preserve"> Accordingly, there are some documents </w:t>
      </w:r>
      <w:r>
        <w:rPr>
          <w:rFonts w:ascii="Arial" w:hAnsi="Arial"/>
          <w:color w:val="010000"/>
          <w:sz w:val="20"/>
        </w:rPr>
        <w:t xml:space="preserve">according to the contents of the Meeting that have not been prepared on time (including the Report on </w:t>
      </w:r>
      <w:proofErr w:type="spellStart"/>
      <w:r>
        <w:rPr>
          <w:rFonts w:ascii="Arial" w:hAnsi="Arial"/>
          <w:color w:val="010000"/>
          <w:sz w:val="20"/>
        </w:rPr>
        <w:t>Coc</w:t>
      </w:r>
      <w:proofErr w:type="spellEnd"/>
      <w:r>
        <w:rPr>
          <w:rFonts w:ascii="Arial" w:hAnsi="Arial"/>
          <w:color w:val="010000"/>
          <w:sz w:val="20"/>
        </w:rPr>
        <w:t xml:space="preserve"> </w:t>
      </w:r>
      <w:proofErr w:type="spellStart"/>
      <w:r>
        <w:rPr>
          <w:rFonts w:ascii="Arial" w:hAnsi="Arial"/>
          <w:color w:val="010000"/>
          <w:sz w:val="20"/>
        </w:rPr>
        <w:t>Sau</w:t>
      </w:r>
      <w:proofErr w:type="spellEnd"/>
      <w:r>
        <w:rPr>
          <w:rFonts w:ascii="Arial" w:hAnsi="Arial"/>
          <w:color w:val="010000"/>
          <w:sz w:val="20"/>
        </w:rPr>
        <w:t xml:space="preserve"> - </w:t>
      </w:r>
      <w:proofErr w:type="spellStart"/>
      <w:r>
        <w:rPr>
          <w:rFonts w:ascii="Arial" w:hAnsi="Arial"/>
          <w:color w:val="010000"/>
          <w:sz w:val="20"/>
        </w:rPr>
        <w:t>Deo</w:t>
      </w:r>
      <w:proofErr w:type="spellEnd"/>
      <w:r>
        <w:rPr>
          <w:rFonts w:ascii="Arial" w:hAnsi="Arial"/>
          <w:color w:val="010000"/>
          <w:sz w:val="20"/>
        </w:rPr>
        <w:t xml:space="preserve"> </w:t>
      </w:r>
      <w:proofErr w:type="spellStart"/>
      <w:r>
        <w:rPr>
          <w:rFonts w:ascii="Arial" w:hAnsi="Arial"/>
          <w:color w:val="010000"/>
          <w:sz w:val="20"/>
        </w:rPr>
        <w:t>Nai</w:t>
      </w:r>
      <w:proofErr w:type="spellEnd"/>
      <w:r>
        <w:rPr>
          <w:rFonts w:ascii="Arial" w:hAnsi="Arial"/>
          <w:color w:val="010000"/>
          <w:sz w:val="20"/>
        </w:rPr>
        <w:t xml:space="preserve"> mine cluster project) Members of the Board of Directors discussed and agreed with the following contents:</w:t>
      </w:r>
    </w:p>
    <w:p w14:paraId="00000005" w14:textId="21496343" w:rsidR="000D5F5A" w:rsidRDefault="008340C8" w:rsidP="008340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67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Convening date of</w:t>
      </w:r>
      <w:r>
        <w:rPr>
          <w:rFonts w:ascii="Arial" w:hAnsi="Arial"/>
          <w:color w:val="010000"/>
          <w:sz w:val="20"/>
        </w:rPr>
        <w:t xml:space="preserve"> the Annual General Meeting</w:t>
      </w:r>
      <w:r>
        <w:rPr>
          <w:rFonts w:ascii="Arial" w:hAnsi="Arial"/>
          <w:color w:val="010000"/>
          <w:sz w:val="20"/>
        </w:rPr>
        <w:t xml:space="preserve"> 2024</w:t>
      </w:r>
    </w:p>
    <w:p w14:paraId="00000006" w14:textId="3ED2523C" w:rsidR="000D5F5A" w:rsidRDefault="008340C8" w:rsidP="008340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3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Time according to the Plan No. 754/KH-TDN dated February 5, 2024 expected to be 8.30</w:t>
      </w:r>
      <w:r>
        <w:rPr>
          <w:rFonts w:ascii="Arial" w:hAnsi="Arial"/>
          <w:color w:val="010000"/>
          <w:sz w:val="20"/>
        </w:rPr>
        <w:t>am, April 17, 2024</w:t>
      </w:r>
    </w:p>
    <w:p w14:paraId="00000007" w14:textId="7118847B" w:rsidR="000D5F5A" w:rsidRDefault="008340C8" w:rsidP="008340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96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Adjusted date (expected): 1</w:t>
      </w:r>
      <w:r>
        <w:rPr>
          <w:rFonts w:ascii="Arial" w:hAnsi="Arial"/>
          <w:color w:val="010000"/>
          <w:sz w:val="20"/>
        </w:rPr>
        <w:t>pm, April 24, 2024 (Wednesday)</w:t>
      </w:r>
    </w:p>
    <w:p w14:paraId="00000008" w14:textId="25A9AB14" w:rsidR="000D5F5A" w:rsidRDefault="008340C8" w:rsidP="008340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37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The Board of Directors authorized the Chair of Directors to sign the Invitation Letter to the General Meeting</w:t>
      </w:r>
      <w:r>
        <w:rPr>
          <w:rFonts w:ascii="Arial" w:hAnsi="Arial"/>
          <w:color w:val="010000"/>
          <w:sz w:val="20"/>
        </w:rPr>
        <w:t xml:space="preserve"> 2024.</w:t>
      </w:r>
      <w:r>
        <w:rPr>
          <w:rFonts w:ascii="Arial" w:hAnsi="Arial"/>
          <w:color w:val="010000"/>
          <w:sz w:val="20"/>
        </w:rPr>
        <w:t xml:space="preserve"> </w:t>
      </w:r>
      <w:r>
        <w:rPr>
          <w:rFonts w:ascii="Arial" w:hAnsi="Arial"/>
          <w:color w:val="010000"/>
          <w:sz w:val="20"/>
        </w:rPr>
        <w:t>The Company Secretariat coordinates with departments to issue the Invitation Letter to the General Meeting and send it to sha</w:t>
      </w:r>
      <w:r>
        <w:rPr>
          <w:rFonts w:ascii="Arial" w:hAnsi="Arial"/>
          <w:color w:val="010000"/>
          <w:sz w:val="20"/>
        </w:rPr>
        <w:t>reholders in accordance with regulations; Other contents regarding the organization of the Meeting remain unchanged and are still implemented according to Plan No. 754/KH-TDN dated February 5, 2024;</w:t>
      </w:r>
    </w:p>
    <w:p w14:paraId="00000009" w14:textId="47C39CFF" w:rsidR="000D5F5A" w:rsidRDefault="008340C8" w:rsidP="008340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67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On dossiers submitted/reported at the Meeting: The Board </w:t>
      </w:r>
      <w:r>
        <w:rPr>
          <w:rFonts w:ascii="Arial" w:hAnsi="Arial"/>
          <w:color w:val="010000"/>
          <w:sz w:val="20"/>
        </w:rPr>
        <w:t>of Directors assigned the Managing Director</w:t>
      </w:r>
      <w:r>
        <w:rPr>
          <w:rFonts w:ascii="Arial" w:hAnsi="Arial"/>
          <w:color w:val="010000"/>
          <w:sz w:val="20"/>
        </w:rPr>
        <w:t xml:space="preserve"> to direct specialized departments to correct documents according to participants' opinions and continue to update relevant content and information in documents for the Meeting; Documents are posted on the Company's Website</w:t>
      </w:r>
      <w:r>
        <w:rPr>
          <w:rFonts w:ascii="Arial" w:hAnsi="Arial"/>
          <w:color w:val="010000"/>
          <w:sz w:val="20"/>
        </w:rPr>
        <w:t xml:space="preserve"> at the prescribed time, so that shareholders can proactively access and look up relevant information;</w:t>
      </w:r>
    </w:p>
    <w:p w14:paraId="0000000A" w14:textId="77777777" w:rsidR="000D5F5A" w:rsidRDefault="008340C8" w:rsidP="008340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67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The person in charge of corporate governance shall disclose information about changing the time of the General Meeting according to regulations.</w:t>
      </w:r>
    </w:p>
    <w:p w14:paraId="0000000B" w14:textId="77777777" w:rsidR="000D5F5A" w:rsidRDefault="008340C8" w:rsidP="008340C8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Article 2. </w:t>
      </w:r>
      <w:r>
        <w:rPr>
          <w:rFonts w:ascii="Arial" w:hAnsi="Arial"/>
          <w:color w:val="010000"/>
          <w:sz w:val="20"/>
        </w:rPr>
        <w:t>This Board Resolution takes effect from the date of its signing.</w:t>
      </w:r>
    </w:p>
    <w:p w14:paraId="0000000C" w14:textId="4B0C4B06" w:rsidR="000D5F5A" w:rsidRDefault="008340C8" w:rsidP="008340C8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‎‎Article 3. </w:t>
      </w:r>
      <w:r>
        <w:rPr>
          <w:rFonts w:ascii="Arial" w:hAnsi="Arial"/>
          <w:color w:val="010000"/>
          <w:sz w:val="20"/>
        </w:rPr>
        <w:t xml:space="preserve">Members of the Board of Directors and Executive Board, </w:t>
      </w:r>
      <w:r>
        <w:rPr>
          <w:rFonts w:ascii="Arial" w:hAnsi="Arial"/>
          <w:color w:val="010000"/>
          <w:sz w:val="20"/>
        </w:rPr>
        <w:t>Chief Accountants, Heads of the following Departments: Accounting Department, Organization - Human Recour</w:t>
      </w:r>
      <w:r>
        <w:rPr>
          <w:rFonts w:ascii="Arial" w:hAnsi="Arial"/>
          <w:color w:val="010000"/>
          <w:sz w:val="20"/>
        </w:rPr>
        <w:t>se Department, Investment - Environment Department, Offices, and members of the Organizing Committee of the Annual General Meeting</w:t>
      </w:r>
      <w:r>
        <w:rPr>
          <w:rFonts w:ascii="Arial" w:hAnsi="Arial"/>
          <w:color w:val="010000"/>
          <w:sz w:val="20"/>
        </w:rPr>
        <w:t xml:space="preserve"> 2024 of the Company base on this </w:t>
      </w:r>
      <w:bookmarkStart w:id="0" w:name="_GoBack"/>
      <w:bookmarkEnd w:id="0"/>
      <w:r>
        <w:rPr>
          <w:rFonts w:ascii="Arial" w:hAnsi="Arial"/>
          <w:color w:val="010000"/>
          <w:sz w:val="20"/>
        </w:rPr>
        <w:t>Resolution to implement.</w:t>
      </w:r>
      <w:r>
        <w:rPr>
          <w:rFonts w:ascii="Arial" w:hAnsi="Arial"/>
          <w:color w:val="010000"/>
          <w:sz w:val="20"/>
        </w:rPr>
        <w:t xml:space="preserve"> </w:t>
      </w:r>
    </w:p>
    <w:sectPr w:rsidR="000D5F5A">
      <w:pgSz w:w="11907" w:h="16839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139F9"/>
    <w:multiLevelType w:val="multilevel"/>
    <w:tmpl w:val="66B0D37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15C087F"/>
    <w:multiLevelType w:val="multilevel"/>
    <w:tmpl w:val="2C8A0FB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5A"/>
    <w:rsid w:val="000D5F5A"/>
    <w:rsid w:val="008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91083"/>
  <w15:docId w15:val="{8EFAE065-3367-4B6C-A15F-E233E1A8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Other0">
    <w:name w:val="Other"/>
    <w:basedOn w:val="Normal"/>
    <w:link w:val="Other"/>
    <w:pPr>
      <w:spacing w:line="257" w:lineRule="auto"/>
      <w:ind w:firstLine="400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pPr>
      <w:spacing w:line="257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pPr>
      <w:ind w:firstLine="11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4LrJq41ySMMpUWIfeq5wIeZ3Sg==">CgMxLjA4AHIhMWN2LTlGVnR5dmdhZjk5ZnhBU0VHM3pUSU4wbmdJdEV3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2024-04-02T04:56:00Z</dcterms:created>
  <dcterms:modified xsi:type="dcterms:W3CDTF">2024-04-02T04:56:00Z</dcterms:modified>
</cp:coreProperties>
</file>