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D36" w14:textId="77777777" w:rsidR="00750AE0" w:rsidRPr="009F0A79" w:rsidRDefault="0010557D" w:rsidP="00105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F0A79">
        <w:rPr>
          <w:rFonts w:ascii="Arial" w:hAnsi="Arial" w:cs="Arial"/>
          <w:b/>
          <w:color w:val="010000"/>
          <w:sz w:val="20"/>
        </w:rPr>
        <w:t>VAB: Explanation on fluctuations in Profit after tax in 2023</w:t>
      </w:r>
    </w:p>
    <w:p w14:paraId="5C4C9026" w14:textId="77777777" w:rsidR="00750AE0" w:rsidRPr="009F0A79" w:rsidRDefault="0010557D" w:rsidP="00105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A79">
        <w:rPr>
          <w:rFonts w:ascii="Arial" w:hAnsi="Arial" w:cs="Arial"/>
          <w:color w:val="010000"/>
          <w:sz w:val="20"/>
        </w:rPr>
        <w:t>On March 28, 2024, VietNam – Asia Commercial Joint Stock Bank announced Official Dispatch No. 1092/2024/BC-VAB on explaining the reason why the profit after tax in the Financial Statements 2023 fluctuated more than 10% compared to 2022 as follows:</w:t>
      </w:r>
    </w:p>
    <w:p w14:paraId="2358136E" w14:textId="77777777" w:rsidR="00750AE0" w:rsidRPr="009F0A79" w:rsidRDefault="0010557D" w:rsidP="00105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50AE0" w:rsidRPr="009F0A79" w:rsidSect="0010557D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F0A79">
        <w:rPr>
          <w:rFonts w:ascii="Arial" w:hAnsi="Arial" w:cs="Arial"/>
          <w:color w:val="010000"/>
          <w:sz w:val="20"/>
        </w:rPr>
        <w:t>Unit: Billion VND, %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43"/>
        <w:gridCol w:w="1550"/>
        <w:gridCol w:w="1497"/>
        <w:gridCol w:w="1699"/>
        <w:gridCol w:w="1228"/>
      </w:tblGrid>
      <w:tr w:rsidR="00750AE0" w:rsidRPr="009F0A79" w14:paraId="7B6D49F8" w14:textId="77777777" w:rsidTr="0010557D">
        <w:tc>
          <w:tcPr>
            <w:tcW w:w="1687" w:type="pct"/>
            <w:shd w:val="clear" w:color="auto" w:fill="auto"/>
            <w:vAlign w:val="center"/>
          </w:tcPr>
          <w:p w14:paraId="3F6669A6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6EFD361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98D146B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4552117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Increase/Decrease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0E34F7E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750AE0" w:rsidRPr="009F0A79" w14:paraId="22F4114A" w14:textId="77777777" w:rsidTr="0010557D">
        <w:tc>
          <w:tcPr>
            <w:tcW w:w="1687" w:type="pct"/>
            <w:shd w:val="clear" w:color="auto" w:fill="auto"/>
            <w:vAlign w:val="center"/>
          </w:tcPr>
          <w:p w14:paraId="2ABBADF3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Separate profit after tax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D0D0AAE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711.5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85FB962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838.1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B57CE54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-126.6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2932B61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-15.1%</w:t>
            </w:r>
          </w:p>
        </w:tc>
      </w:tr>
      <w:tr w:rsidR="00750AE0" w:rsidRPr="009F0A79" w14:paraId="752FDB8D" w14:textId="77777777" w:rsidTr="0010557D">
        <w:tc>
          <w:tcPr>
            <w:tcW w:w="1687" w:type="pct"/>
            <w:shd w:val="clear" w:color="auto" w:fill="auto"/>
            <w:vAlign w:val="center"/>
          </w:tcPr>
          <w:p w14:paraId="084810B0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Consolidated profit after tax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FB4EA62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744.1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A907F26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890.6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46AD4EF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-146.5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1779F87" w14:textId="77777777" w:rsidR="00750AE0" w:rsidRPr="009F0A79" w:rsidRDefault="0010557D" w:rsidP="001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A79">
              <w:rPr>
                <w:rFonts w:ascii="Arial" w:hAnsi="Arial" w:cs="Arial"/>
                <w:color w:val="010000"/>
                <w:sz w:val="20"/>
              </w:rPr>
              <w:t>-16.5%</w:t>
            </w:r>
          </w:p>
        </w:tc>
      </w:tr>
    </w:tbl>
    <w:p w14:paraId="4806A470" w14:textId="77777777" w:rsidR="00750AE0" w:rsidRPr="009F0A79" w:rsidRDefault="0010557D" w:rsidP="00105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A79">
        <w:rPr>
          <w:rFonts w:ascii="Arial" w:hAnsi="Arial" w:cs="Arial"/>
          <w:color w:val="010000"/>
          <w:sz w:val="20"/>
        </w:rPr>
        <w:t>Net interest income from other activities decreased compared to 2022 (in 2022, income increased due to recording profits from debt-clearing asset sales). Income from foreign exchange activities decreased by VND 3.5 billion, decreased by 36.1% compared to 2022, also contributing to the decrease in profits in 2023. Increased operating costs (salary costs, asset investment costs...) in 2023 also reduced the Bank's profits.</w:t>
      </w:r>
    </w:p>
    <w:p w14:paraId="41DF2C09" w14:textId="77777777" w:rsidR="00750AE0" w:rsidRPr="009F0A79" w:rsidRDefault="0010557D" w:rsidP="00105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A79">
        <w:rPr>
          <w:rFonts w:ascii="Arial" w:hAnsi="Arial" w:cs="Arial"/>
          <w:color w:val="010000"/>
          <w:sz w:val="20"/>
        </w:rPr>
        <w:t>In addition, the Bank continued to strengthen bad debt handling and provisioning, so provision costs increased by VND 625.3 billion, leading to a decrease in profit in 2023 compared to 2022.</w:t>
      </w:r>
    </w:p>
    <w:p w14:paraId="29A93CD2" w14:textId="77777777" w:rsidR="00750AE0" w:rsidRPr="009F0A79" w:rsidRDefault="0010557D" w:rsidP="001055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A79">
        <w:rPr>
          <w:rFonts w:ascii="Arial" w:hAnsi="Arial" w:cs="Arial"/>
          <w:color w:val="010000"/>
          <w:sz w:val="20"/>
        </w:rPr>
        <w:t>Thus, from the above reasons, individual profit after tax in 2023 increased by VND 126.6 billion, an increase of 15.1% compared to 2022. Consolidated profit after tax in 2023 decreased by VND 146.5 billion, decreased by 16.45% compared to consolidated profit after tax in 2022.</w:t>
      </w:r>
    </w:p>
    <w:sectPr w:rsidR="00750AE0" w:rsidRPr="009F0A79" w:rsidSect="0010557D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E0"/>
    <w:rsid w:val="0010557D"/>
    <w:rsid w:val="00750AE0"/>
    <w:rsid w:val="009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E7D9"/>
  <w15:docId w15:val="{E76DDDB9-E8F0-44EF-ADBB-827381C7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13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P9QwnVpxf3pnokP8RdYmv68bpw==">CgMxLjA4AHIhMTJNaXRGWURHT05wNDUwOV82bWhDZmc2VmRrRTdjVVNz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2024-04-01T04:22:00Z</dcterms:created>
  <dcterms:modified xsi:type="dcterms:W3CDTF">2024-04-02T01:49:00Z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b4dda6468c2a16b7208108ee1c3aa816a77aeaac82cd4b3ddb0060170d7500ce</vt:lpwstr>
  </property>
</Properties>
</file>