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3935" w:rsidRPr="003E3619" w:rsidRDefault="003E3619" w:rsidP="00FC3C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E3619">
        <w:rPr>
          <w:rFonts w:ascii="Arial" w:hAnsi="Arial" w:cs="Arial"/>
          <w:b/>
          <w:color w:val="010000"/>
          <w:sz w:val="20"/>
        </w:rPr>
        <w:t>VFS: Board Resolution</w:t>
      </w:r>
    </w:p>
    <w:p w14:paraId="00000002" w14:textId="6B2E1926" w:rsidR="003A3935" w:rsidRPr="003E3619" w:rsidRDefault="003E3619" w:rsidP="00FC3C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On March 27, 2024, Viet First Securities Corporation announced Resolution No. 03/2024/NQ/VFS-HDQT on approving the agenda of the Annual </w:t>
      </w:r>
      <w:r w:rsidR="00FC3CD9">
        <w:rPr>
          <w:rFonts w:ascii="Arial" w:hAnsi="Arial" w:cs="Arial"/>
          <w:color w:val="010000"/>
          <w:sz w:val="20"/>
        </w:rPr>
        <w:t>General Meeting</w:t>
      </w:r>
      <w:r w:rsidRPr="003E361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AE80C23" w:rsidR="003A3935" w:rsidRPr="003E3619" w:rsidRDefault="003E3619" w:rsidP="00FC3C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‎‎Article 1. Approve the agenda of the Annual </w:t>
      </w:r>
      <w:r w:rsidR="00FC3CD9">
        <w:rPr>
          <w:rFonts w:ascii="Arial" w:hAnsi="Arial" w:cs="Arial"/>
          <w:color w:val="010000"/>
          <w:sz w:val="20"/>
        </w:rPr>
        <w:t>General Meeting</w:t>
      </w:r>
      <w:r w:rsidRPr="003E3619">
        <w:rPr>
          <w:rFonts w:ascii="Arial" w:hAnsi="Arial" w:cs="Arial"/>
          <w:color w:val="010000"/>
          <w:sz w:val="20"/>
        </w:rPr>
        <w:t xml:space="preserve"> 2024 of the Company as follows:</w:t>
      </w:r>
    </w:p>
    <w:p w14:paraId="00000004" w14:textId="14A5E564" w:rsidR="003A3935" w:rsidRPr="003E3619" w:rsidRDefault="00FC3CD9" w:rsidP="00FC3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E3619" w:rsidRPr="003E3619">
        <w:rPr>
          <w:rFonts w:ascii="Arial" w:hAnsi="Arial" w:cs="Arial"/>
          <w:color w:val="010000"/>
          <w:sz w:val="20"/>
        </w:rPr>
        <w:t>: 8.00 a.m</w:t>
      </w:r>
      <w:r w:rsidR="005257E9" w:rsidRPr="003E3619">
        <w:rPr>
          <w:rFonts w:ascii="Arial" w:hAnsi="Arial" w:cs="Arial"/>
          <w:color w:val="010000"/>
          <w:sz w:val="20"/>
        </w:rPr>
        <w:t>.,</w:t>
      </w:r>
      <w:r w:rsidR="003E3619" w:rsidRPr="003E3619">
        <w:rPr>
          <w:rFonts w:ascii="Arial" w:hAnsi="Arial" w:cs="Arial"/>
          <w:color w:val="010000"/>
          <w:sz w:val="20"/>
        </w:rPr>
        <w:t xml:space="preserve"> Saturday, April 20, 2024</w:t>
      </w:r>
    </w:p>
    <w:p w14:paraId="00000005" w14:textId="587A0BB9" w:rsidR="003A3935" w:rsidRPr="003E3619" w:rsidRDefault="003E3619" w:rsidP="00FC3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Venue: 3rd Floor Hall, No. 37 Ba Trieu</w:t>
      </w:r>
      <w:r w:rsidR="00FC3CD9">
        <w:rPr>
          <w:rFonts w:ascii="Arial" w:hAnsi="Arial" w:cs="Arial"/>
          <w:color w:val="010000"/>
          <w:sz w:val="20"/>
        </w:rPr>
        <w:t xml:space="preserve"> Street</w:t>
      </w:r>
      <w:r w:rsidRPr="003E3619">
        <w:rPr>
          <w:rFonts w:ascii="Arial" w:hAnsi="Arial" w:cs="Arial"/>
          <w:color w:val="010000"/>
          <w:sz w:val="20"/>
        </w:rPr>
        <w:t xml:space="preserve">, Hang Bai Ward, </w:t>
      </w:r>
      <w:proofErr w:type="spellStart"/>
      <w:r w:rsidRPr="003E3619">
        <w:rPr>
          <w:rFonts w:ascii="Arial" w:hAnsi="Arial" w:cs="Arial"/>
          <w:color w:val="010000"/>
          <w:sz w:val="20"/>
        </w:rPr>
        <w:t>Hoan</w:t>
      </w:r>
      <w:proofErr w:type="spellEnd"/>
      <w:r w:rsidRPr="003E361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E3619">
        <w:rPr>
          <w:rFonts w:ascii="Arial" w:hAnsi="Arial" w:cs="Arial"/>
          <w:color w:val="010000"/>
          <w:sz w:val="20"/>
        </w:rPr>
        <w:t>Kiem</w:t>
      </w:r>
      <w:proofErr w:type="spellEnd"/>
      <w:r w:rsidRPr="003E3619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6" w14:textId="77777777" w:rsidR="003A3935" w:rsidRPr="003E3619" w:rsidRDefault="003E3619" w:rsidP="00FC3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Content:</w:t>
      </w:r>
    </w:p>
    <w:p w14:paraId="00000007" w14:textId="552E7BAD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Report on the activities of the Board of Directors in 2023</w:t>
      </w:r>
      <w:r w:rsidR="005257E9" w:rsidRPr="003E3619">
        <w:rPr>
          <w:rFonts w:ascii="Arial" w:hAnsi="Arial" w:cs="Arial"/>
          <w:color w:val="010000"/>
          <w:sz w:val="20"/>
        </w:rPr>
        <w:t>,</w:t>
      </w:r>
      <w:r w:rsidRPr="003E3619">
        <w:rPr>
          <w:rFonts w:ascii="Arial" w:hAnsi="Arial" w:cs="Arial"/>
          <w:color w:val="010000"/>
          <w:sz w:val="20"/>
        </w:rPr>
        <w:t xml:space="preserve"> the Plan for 2024;</w:t>
      </w:r>
    </w:p>
    <w:p w14:paraId="00000008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Report on production and business activities of the Board of Managers in 2023 and plan in 2024;</w:t>
      </w:r>
    </w:p>
    <w:p w14:paraId="00000009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Report on activities of the Supervisory Board in 2023;</w:t>
      </w:r>
    </w:p>
    <w:p w14:paraId="0000000A" w14:textId="231A0559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Audited </w:t>
      </w:r>
      <w:r w:rsidR="005257E9" w:rsidRPr="003E3619">
        <w:rPr>
          <w:rFonts w:ascii="Arial" w:hAnsi="Arial" w:cs="Arial"/>
          <w:color w:val="010000"/>
          <w:sz w:val="20"/>
        </w:rPr>
        <w:t>Financial Statements</w:t>
      </w:r>
      <w:r w:rsidRPr="003E3619">
        <w:rPr>
          <w:rFonts w:ascii="Arial" w:hAnsi="Arial" w:cs="Arial"/>
          <w:color w:val="010000"/>
          <w:sz w:val="20"/>
        </w:rPr>
        <w:t xml:space="preserve"> 2023.</w:t>
      </w:r>
    </w:p>
    <w:p w14:paraId="0000000B" w14:textId="04853350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Report on capital use from the 2023 private s</w:t>
      </w:r>
      <w:r w:rsidR="00FC3CD9">
        <w:rPr>
          <w:rFonts w:ascii="Arial" w:hAnsi="Arial" w:cs="Arial"/>
          <w:color w:val="010000"/>
          <w:sz w:val="20"/>
        </w:rPr>
        <w:t>hare issu</w:t>
      </w:r>
      <w:r w:rsidRPr="003E3619">
        <w:rPr>
          <w:rFonts w:ascii="Arial" w:hAnsi="Arial" w:cs="Arial"/>
          <w:color w:val="010000"/>
          <w:sz w:val="20"/>
        </w:rPr>
        <w:t>e;</w:t>
      </w:r>
    </w:p>
    <w:p w14:paraId="0000000C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Payment of remuneration for the Board of Directors and Supervisory Board in 2023 and payment plan for 2024; Profit distribution plan for 2023 and expected for 2024;</w:t>
      </w:r>
    </w:p>
    <w:p w14:paraId="0000000D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Plan to issue shares to pay dividends in 2023</w:t>
      </w:r>
    </w:p>
    <w:p w14:paraId="0000000E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The selection of an audit company for 2024;</w:t>
      </w:r>
    </w:p>
    <w:p w14:paraId="0000000F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Continue to implement the plan to issue shares to existing shareholders;</w:t>
      </w:r>
    </w:p>
    <w:p w14:paraId="00000010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Continue to deploy operations related to the emerging stock market;</w:t>
      </w:r>
    </w:p>
    <w:p w14:paraId="00000011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Change the Company's management organization model and dismiss the Supervisory Board;</w:t>
      </w:r>
    </w:p>
    <w:p w14:paraId="00000012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Change the Company's Charter;</w:t>
      </w:r>
    </w:p>
    <w:p w14:paraId="00000013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Amendment to the Internal Regulations on corporate governance:</w:t>
      </w:r>
    </w:p>
    <w:p w14:paraId="00000014" w14:textId="6F562230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Changes to the </w:t>
      </w:r>
      <w:r w:rsidR="005257E9" w:rsidRPr="003E3619">
        <w:rPr>
          <w:rFonts w:ascii="Arial" w:hAnsi="Arial" w:cs="Arial"/>
          <w:color w:val="010000"/>
          <w:sz w:val="20"/>
        </w:rPr>
        <w:t xml:space="preserve">Internal Regulations on procedures </w:t>
      </w:r>
      <w:r w:rsidRPr="003E3619">
        <w:rPr>
          <w:rFonts w:ascii="Arial" w:hAnsi="Arial" w:cs="Arial"/>
          <w:color w:val="010000"/>
          <w:sz w:val="20"/>
        </w:rPr>
        <w:t xml:space="preserve">for convening and voting at the </w:t>
      </w:r>
      <w:r w:rsidR="00FC3CD9">
        <w:rPr>
          <w:rFonts w:ascii="Arial" w:hAnsi="Arial" w:cs="Arial"/>
          <w:color w:val="010000"/>
          <w:sz w:val="20"/>
        </w:rPr>
        <w:t>General Meeting</w:t>
      </w:r>
      <w:r w:rsidRPr="003E3619">
        <w:rPr>
          <w:rFonts w:ascii="Arial" w:hAnsi="Arial" w:cs="Arial"/>
          <w:color w:val="010000"/>
          <w:sz w:val="20"/>
        </w:rPr>
        <w:t>;</w:t>
      </w:r>
    </w:p>
    <w:p w14:paraId="00000015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Amend the Operational Regulations of the Board of Directors.</w:t>
      </w:r>
    </w:p>
    <w:p w14:paraId="00000016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Policy on implementing contracts and transactions between the Company and related parties and approving major contracts and transactions;</w:t>
      </w:r>
    </w:p>
    <w:p w14:paraId="00000017" w14:textId="77777777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Dismiss and elect additional members of the Board of Directors for the term 2024 - 2029.</w:t>
      </w:r>
    </w:p>
    <w:p w14:paraId="00000018" w14:textId="4C238D60" w:rsidR="003A3935" w:rsidRPr="003E3619" w:rsidRDefault="003E3619" w:rsidP="00FC3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FC3CD9">
        <w:rPr>
          <w:rFonts w:ascii="Arial" w:hAnsi="Arial" w:cs="Arial"/>
          <w:color w:val="010000"/>
          <w:sz w:val="20"/>
        </w:rPr>
        <w:t>General Meeting</w:t>
      </w:r>
      <w:r w:rsidRPr="003E3619">
        <w:rPr>
          <w:rFonts w:ascii="Arial" w:hAnsi="Arial" w:cs="Arial"/>
          <w:color w:val="010000"/>
          <w:sz w:val="20"/>
        </w:rPr>
        <w:t xml:space="preserve"> (if any).</w:t>
      </w:r>
    </w:p>
    <w:p w14:paraId="00000019" w14:textId="77777777" w:rsidR="003A3935" w:rsidRPr="003E3619" w:rsidRDefault="003E3619" w:rsidP="00FC3CD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>‎‎Article 2. The Board of Directors assigns/authorizes the Chair of the Board of Directors of the Company to perform the following tasks:</w:t>
      </w:r>
    </w:p>
    <w:p w14:paraId="0000001A" w14:textId="0F7523CA" w:rsidR="003A3935" w:rsidRPr="003E3619" w:rsidRDefault="003E3619" w:rsidP="00FC3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Decide to change the </w:t>
      </w:r>
      <w:r w:rsidR="00FC3CD9">
        <w:rPr>
          <w:rFonts w:ascii="Arial" w:hAnsi="Arial" w:cs="Arial"/>
          <w:color w:val="010000"/>
          <w:sz w:val="20"/>
        </w:rPr>
        <w:t>date</w:t>
      </w:r>
      <w:r w:rsidRPr="003E3619">
        <w:rPr>
          <w:rFonts w:ascii="Arial" w:hAnsi="Arial" w:cs="Arial"/>
          <w:color w:val="010000"/>
          <w:sz w:val="20"/>
        </w:rPr>
        <w:t>, venue, and content of the meeting;</w:t>
      </w:r>
    </w:p>
    <w:p w14:paraId="0000001B" w14:textId="3BE03DA8" w:rsidR="003A3935" w:rsidRPr="003E3619" w:rsidRDefault="003E3619" w:rsidP="00FC3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lastRenderedPageBreak/>
        <w:t xml:space="preserve">Prepare document contents to submit to the </w:t>
      </w:r>
      <w:r w:rsidR="00FC3CD9">
        <w:rPr>
          <w:rFonts w:ascii="Arial" w:hAnsi="Arial" w:cs="Arial"/>
          <w:color w:val="010000"/>
          <w:sz w:val="20"/>
        </w:rPr>
        <w:t>General Meeting</w:t>
      </w:r>
      <w:r w:rsidRPr="003E3619">
        <w:rPr>
          <w:rFonts w:ascii="Arial" w:hAnsi="Arial" w:cs="Arial"/>
          <w:color w:val="010000"/>
          <w:sz w:val="20"/>
        </w:rPr>
        <w:t xml:space="preserve"> for approval and adjust and supplement other relevant document contents;</w:t>
      </w:r>
    </w:p>
    <w:p w14:paraId="0000001C" w14:textId="25C14D16" w:rsidR="003A3935" w:rsidRPr="003E3619" w:rsidRDefault="003E3619" w:rsidP="00FC3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8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Carry out necessary related work to </w:t>
      </w:r>
      <w:r w:rsidR="00FC3CD9">
        <w:rPr>
          <w:rFonts w:ascii="Arial" w:hAnsi="Arial" w:cs="Arial"/>
          <w:color w:val="010000"/>
          <w:sz w:val="20"/>
        </w:rPr>
        <w:t>convene</w:t>
      </w:r>
      <w:r w:rsidRPr="003E3619">
        <w:rPr>
          <w:rFonts w:ascii="Arial" w:hAnsi="Arial" w:cs="Arial"/>
          <w:color w:val="010000"/>
          <w:sz w:val="20"/>
        </w:rPr>
        <w:t xml:space="preserve"> the Annual </w:t>
      </w:r>
      <w:r w:rsidR="00FC3CD9">
        <w:rPr>
          <w:rFonts w:ascii="Arial" w:hAnsi="Arial" w:cs="Arial"/>
          <w:color w:val="010000"/>
          <w:sz w:val="20"/>
        </w:rPr>
        <w:t>General Meeting</w:t>
      </w:r>
      <w:r w:rsidRPr="003E3619">
        <w:rPr>
          <w:rFonts w:ascii="Arial" w:hAnsi="Arial" w:cs="Arial"/>
          <w:color w:val="010000"/>
          <w:sz w:val="20"/>
        </w:rPr>
        <w:t xml:space="preserve"> 2024 to ensure compliance with </w:t>
      </w:r>
      <w:r w:rsidR="00FC3CD9">
        <w:rPr>
          <w:rFonts w:ascii="Arial" w:hAnsi="Arial" w:cs="Arial"/>
          <w:color w:val="010000"/>
          <w:sz w:val="20"/>
        </w:rPr>
        <w:t xml:space="preserve">applicable laws </w:t>
      </w:r>
      <w:r w:rsidRPr="003E3619">
        <w:rPr>
          <w:rFonts w:ascii="Arial" w:hAnsi="Arial" w:cs="Arial"/>
          <w:color w:val="010000"/>
          <w:sz w:val="20"/>
        </w:rPr>
        <w:t>and the Company's Charter.</w:t>
      </w:r>
    </w:p>
    <w:p w14:paraId="0000001D" w14:textId="77777777" w:rsidR="003A3935" w:rsidRPr="003E3619" w:rsidRDefault="003E3619" w:rsidP="00FC3CD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‎‎Article 3. Terms of enforcement </w:t>
      </w:r>
    </w:p>
    <w:p w14:paraId="0000001E" w14:textId="1DBF0A93" w:rsidR="003A3935" w:rsidRPr="003E3619" w:rsidRDefault="003E3619" w:rsidP="00FC3C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Members of the Board of Directors, </w:t>
      </w:r>
      <w:r w:rsidR="00FC3CD9">
        <w:rPr>
          <w:rFonts w:ascii="Arial" w:hAnsi="Arial" w:cs="Arial"/>
          <w:color w:val="010000"/>
          <w:sz w:val="20"/>
        </w:rPr>
        <w:t>Executive Board and</w:t>
      </w:r>
      <w:r w:rsidRPr="003E3619">
        <w:rPr>
          <w:rFonts w:ascii="Arial" w:hAnsi="Arial" w:cs="Arial"/>
          <w:color w:val="010000"/>
          <w:sz w:val="20"/>
        </w:rPr>
        <w:t xml:space="preserve"> Supervisory Board and relevant departments and individuals are responsible for the implementation of this Resolution </w:t>
      </w:r>
      <w:r w:rsidR="00FC3CD9">
        <w:rPr>
          <w:rFonts w:ascii="Arial" w:hAnsi="Arial" w:cs="Arial"/>
          <w:color w:val="010000"/>
          <w:sz w:val="20"/>
        </w:rPr>
        <w:t>under applicable laws</w:t>
      </w:r>
      <w:r w:rsidRPr="003E3619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1F" w14:textId="5369016B" w:rsidR="003A3935" w:rsidRPr="003E3619" w:rsidRDefault="003E3619" w:rsidP="00FC3C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3619">
        <w:rPr>
          <w:rFonts w:ascii="Arial" w:hAnsi="Arial" w:cs="Arial"/>
          <w:color w:val="010000"/>
          <w:sz w:val="20"/>
        </w:rPr>
        <w:t xml:space="preserve">This </w:t>
      </w:r>
      <w:r w:rsidR="00FC3CD9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="005257E9" w:rsidRPr="003E3619">
        <w:rPr>
          <w:rFonts w:ascii="Arial" w:hAnsi="Arial" w:cs="Arial"/>
          <w:color w:val="010000"/>
          <w:sz w:val="20"/>
        </w:rPr>
        <w:t>Res</w:t>
      </w:r>
      <w:r w:rsidRPr="003E3619">
        <w:rPr>
          <w:rFonts w:ascii="Arial" w:hAnsi="Arial" w:cs="Arial"/>
          <w:color w:val="010000"/>
          <w:sz w:val="20"/>
        </w:rPr>
        <w:t>olution takes effect on the date of its signing.</w:t>
      </w:r>
    </w:p>
    <w:sectPr w:rsidR="003A3935" w:rsidRPr="003E3619" w:rsidSect="005257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A17"/>
    <w:multiLevelType w:val="multilevel"/>
    <w:tmpl w:val="1C4034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B3A3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9270D3"/>
    <w:multiLevelType w:val="multilevel"/>
    <w:tmpl w:val="2FF40CD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BE7F54"/>
    <w:multiLevelType w:val="multilevel"/>
    <w:tmpl w:val="4156CC1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B3A3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5"/>
    <w:rsid w:val="003A3935"/>
    <w:rsid w:val="003E3619"/>
    <w:rsid w:val="005257E9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55FB"/>
  <w15:docId w15:val="{5E56156E-D6A8-46A8-B3FA-C8711CD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74E5C"/>
      <w:sz w:val="16"/>
      <w:szCs w:val="1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A3D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A3D"/>
      <w:u w:val="none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151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90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60" w:lineRule="auto"/>
      <w:ind w:left="2760" w:firstLine="200"/>
    </w:pPr>
    <w:rPr>
      <w:rFonts w:ascii="Arial" w:eastAsia="Arial" w:hAnsi="Arial" w:cs="Arial"/>
      <w:b/>
      <w:bCs/>
      <w:color w:val="E74E5C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293" w:lineRule="auto"/>
      <w:ind w:left="310"/>
      <w:outlineLvl w:val="0"/>
    </w:pPr>
    <w:rPr>
      <w:rFonts w:ascii="Times New Roman" w:eastAsia="Times New Roman" w:hAnsi="Times New Roman" w:cs="Times New Roman"/>
      <w:b/>
      <w:bCs/>
      <w:color w:val="3B3A3D"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  <w:color w:val="3B3A3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3DA46Lcm/19Md81O7UtHqph/jA==">CgMxLjA4AHIhMWhBcThScUl4cTh4UHFta0lVWHNnQXZwUGw5Um9tU0ZB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lien.tran</dc:creator>
  <cp:lastModifiedBy>Nguyen Duc Quan</cp:lastModifiedBy>
  <cp:revision>2</cp:revision>
  <dcterms:created xsi:type="dcterms:W3CDTF">2024-04-02T09:37:00Z</dcterms:created>
  <dcterms:modified xsi:type="dcterms:W3CDTF">2024-04-02T09:37:00Z</dcterms:modified>
</cp:coreProperties>
</file>