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FB845" w14:textId="77777777"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113AD">
        <w:rPr>
          <w:rFonts w:ascii="Arial" w:hAnsi="Arial" w:cs="Arial"/>
          <w:b/>
          <w:color w:val="010000"/>
          <w:sz w:val="20"/>
        </w:rPr>
        <w:t>VHH: Explanation on the qualified opinion in the Financial Statements 2023</w:t>
      </w:r>
    </w:p>
    <w:p w14:paraId="667FB846" w14:textId="3C021734"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 xml:space="preserve">On March 28, 2024, Thanh Dat Investment House Trading JSC announced Official Dispatch No. 09/CT-TCKT Explaining the </w:t>
      </w:r>
      <w:r w:rsidR="000113AD" w:rsidRPr="000113AD">
        <w:rPr>
          <w:rFonts w:ascii="Arial" w:hAnsi="Arial" w:cs="Arial"/>
          <w:color w:val="010000"/>
          <w:sz w:val="20"/>
        </w:rPr>
        <w:t>qualified</w:t>
      </w:r>
      <w:r w:rsidRPr="000113AD">
        <w:rPr>
          <w:rFonts w:ascii="Arial" w:hAnsi="Arial" w:cs="Arial"/>
          <w:color w:val="010000"/>
          <w:sz w:val="20"/>
        </w:rPr>
        <w:t xml:space="preserve"> opinion as follows:</w:t>
      </w:r>
    </w:p>
    <w:p w14:paraId="667FB847" w14:textId="517A734E" w:rsidR="00E603FC" w:rsidRPr="000113AD" w:rsidRDefault="0088287C" w:rsidP="0088287C">
      <w:pPr>
        <w:numPr>
          <w:ilvl w:val="0"/>
          <w:numId w:val="1"/>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sidRPr="000113AD">
        <w:rPr>
          <w:rFonts w:ascii="Arial" w:hAnsi="Arial" w:cs="Arial"/>
          <w:color w:val="010000"/>
          <w:sz w:val="20"/>
        </w:rPr>
        <w:t xml:space="preserve">Some receivables of VND 10,413,840,735 and payables of VND 7,081,407,169 have not been compared and confirmed as </w:t>
      </w:r>
      <w:r w:rsidR="000113AD" w:rsidRPr="000113AD">
        <w:rPr>
          <w:rFonts w:ascii="Arial" w:hAnsi="Arial" w:cs="Arial"/>
          <w:color w:val="010000"/>
          <w:sz w:val="20"/>
        </w:rPr>
        <w:t>of</w:t>
      </w:r>
      <w:r w:rsidRPr="000113AD">
        <w:rPr>
          <w:rFonts w:ascii="Arial" w:hAnsi="Arial" w:cs="Arial"/>
          <w:color w:val="010000"/>
          <w:sz w:val="20"/>
        </w:rPr>
        <w:t xml:space="preserve"> December 31, 2023. The auditor sent a reconciliation letter but did not receive a response from the related parties. Alternative audit procedures also do not provide sufficient appropriate evidence for these receivables and payables. Therefore, we do not give an opinion on the above debts.</w:t>
      </w:r>
    </w:p>
    <w:p w14:paraId="667FB848" w14:textId="476D7B86"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 xml:space="preserve">The Company would like to explain that the Auditor has used alternative audit procedures by sending confirmation letters, but up to this point we have not received a response from the relevant parties due to our customers of the company </w:t>
      </w:r>
      <w:r w:rsidR="000113AD" w:rsidRPr="000113AD">
        <w:rPr>
          <w:rFonts w:ascii="Arial" w:hAnsi="Arial" w:cs="Arial"/>
          <w:color w:val="010000"/>
          <w:sz w:val="20"/>
        </w:rPr>
        <w:t>being</w:t>
      </w:r>
      <w:r w:rsidRPr="000113AD">
        <w:rPr>
          <w:rFonts w:ascii="Arial" w:hAnsi="Arial" w:cs="Arial"/>
          <w:color w:val="010000"/>
          <w:sz w:val="20"/>
        </w:rPr>
        <w:t xml:space="preserve"> far away but the time to send confirmation is short. The company commits to sign the confirmation letter as quickly as possible.</w:t>
      </w:r>
    </w:p>
    <w:p w14:paraId="667FB849" w14:textId="78F7AA7F" w:rsidR="00E603FC" w:rsidRPr="000113AD" w:rsidRDefault="0088287C" w:rsidP="0088287C">
      <w:pPr>
        <w:numPr>
          <w:ilvl w:val="0"/>
          <w:numId w:val="1"/>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0113AD">
        <w:rPr>
          <w:rFonts w:ascii="Arial" w:hAnsi="Arial" w:cs="Arial"/>
          <w:color w:val="010000"/>
          <w:sz w:val="20"/>
        </w:rPr>
        <w:t xml:space="preserve">Auditors </w:t>
      </w:r>
      <w:r w:rsidR="000113AD" w:rsidRPr="000113AD">
        <w:rPr>
          <w:rFonts w:ascii="Arial" w:hAnsi="Arial" w:cs="Arial"/>
          <w:color w:val="010000"/>
          <w:sz w:val="20"/>
        </w:rPr>
        <w:t>did not</w:t>
      </w:r>
      <w:r w:rsidRPr="000113AD">
        <w:rPr>
          <w:rFonts w:ascii="Arial" w:hAnsi="Arial" w:cs="Arial"/>
          <w:color w:val="010000"/>
          <w:sz w:val="20"/>
        </w:rPr>
        <w:t xml:space="preserve"> participate in witnessing inventory counts as of December 31, 2023. Alternative audit procedures may not provide adequate evidence for this item. Therefore, we do not express an opinion on the inventory value of VND 3,711,528,336 at the end of the accounting year.</w:t>
      </w:r>
    </w:p>
    <w:p w14:paraId="667FB84A" w14:textId="77777777"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The company would like to explain that as of December 31, 2023, the inventory counting process was prolonged and intermittent due to the large supply of concrete for projects, resulting in continuous fluctuations in the volume of raw materials imported and exported. Production stopped at 9:00 p.m. on December 31, 2023 and inventory counting was carried out accurately, so the auditor did not participate in the inventory with the company.</w:t>
      </w:r>
    </w:p>
    <w:p w14:paraId="667FB84B" w14:textId="77777777" w:rsidR="00E603FC" w:rsidRPr="000113AD" w:rsidRDefault="0088287C" w:rsidP="0088287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The company has not evaluated the recoverability of some overdue receivables of VND 14,596,704,672. Based on the currently available information, the auditor cannot collect sufficient appropriate evidence to determine the recoverability of the above debts. Therefore, we cannot determine whether it is necessary to adjust the figures of the item "Provision for short-term doubtful receivables" and its impact on other items of the Financial Statements.</w:t>
      </w:r>
    </w:p>
    <w:p w14:paraId="667FB84C" w14:textId="77777777"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The Company would like to explain that due to the impact of a prolonged difficult economy and limited investment capital in projects, many projects were interrupted, causing the Company's customers to face many difficulties in not being able to pay their bills to Company.</w:t>
      </w:r>
    </w:p>
    <w:p w14:paraId="667FB84D" w14:textId="77777777"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On the other hand, capital disbursement from the state budget into state projects was slow, so the Company's customers encountered many difficulties in not being able to pay the Company.</w:t>
      </w:r>
    </w:p>
    <w:p w14:paraId="667FB84E" w14:textId="77777777" w:rsidR="00E603FC" w:rsidRPr="000113AD" w:rsidRDefault="0088287C" w:rsidP="0088287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Investment expense of the quarry project currently recorded as of December 31, 2023 is VND 711,071,832. According to information from the Company, the State has assigned the quarry project to another enterprise and the Company is negotiating with this enterprise to recover the compensation and clearance costs that the Company has spent. The auditors have not been provided with documents related to the above-mentioned issue; therefore, we cannot give any audit opinion on this issue.</w:t>
      </w:r>
    </w:p>
    <w:p w14:paraId="667FB84F" w14:textId="77777777" w:rsidR="00E603FC" w:rsidRPr="000113AD" w:rsidRDefault="0088287C" w:rsidP="008828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13AD">
        <w:rPr>
          <w:rFonts w:ascii="Arial" w:hAnsi="Arial" w:cs="Arial"/>
          <w:color w:val="010000"/>
          <w:sz w:val="20"/>
        </w:rPr>
        <w:t xml:space="preserve">The company would like to be explained that the quarry project The People's Committee has decided </w:t>
      </w:r>
      <w:r w:rsidRPr="000113AD">
        <w:rPr>
          <w:rFonts w:ascii="Arial" w:hAnsi="Arial" w:cs="Arial"/>
          <w:color w:val="010000"/>
          <w:sz w:val="20"/>
        </w:rPr>
        <w:lastRenderedPageBreak/>
        <w:t>to withdraw the Company's project and hand over the quarry project to another enterprise. However, the enterprise receiving quarry project have not completed the hand-over for the quarrying project. The two sides are negotiating to agree on the cost of opening the company that has been spent on the project in the past time and refunding that cost to our company.</w:t>
      </w:r>
    </w:p>
    <w:sectPr w:rsidR="00E603FC" w:rsidRPr="000113AD" w:rsidSect="008828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E25923"/>
    <w:multiLevelType w:val="multilevel"/>
    <w:tmpl w:val="988CE1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262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FC"/>
    <w:rsid w:val="000113AD"/>
    <w:rsid w:val="0088287C"/>
    <w:rsid w:val="00E603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FB845"/>
  <w15:docId w15:val="{28E0DF9D-2586-4B91-96CA-CB8BF13B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45" w:lineRule="auto"/>
      <w:ind w:left="1380" w:firstLine="13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1160"/>
    </w:pPr>
    <w:rPr>
      <w:rFonts w:ascii="Arial" w:eastAsia="Arial" w:hAnsi="Arial" w:cs="Arial"/>
      <w:smallCaps/>
      <w:sz w:val="28"/>
      <w:szCs w:val="28"/>
    </w:rPr>
  </w:style>
  <w:style w:type="paragraph" w:customStyle="1" w:styleId="Bodytext20">
    <w:name w:val="Body text (2)"/>
    <w:basedOn w:val="Normal"/>
    <w:link w:val="Bodytext2"/>
    <w:pPr>
      <w:spacing w:line="206" w:lineRule="auto"/>
      <w:ind w:left="239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FJpsjnJEn09bKW8TINiAGOHlw==">CgMxLjA4AHIhMXN2bUJTSUNneVlzYkoyVXc1TFFiTmxReGFtbGVTSnV5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3018</Characters>
  <Application>Microsoft Office Word</Application>
  <DocSecurity>0</DocSecurity>
  <Lines>41</Lines>
  <Paragraphs>12</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2024-04-01T04:23:00Z</dcterms:created>
  <dcterms:modified xsi:type="dcterms:W3CDTF">2024-04-01T23:13:00Z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c8aab73dadf34b1dcdc3b4d7441f7653b6de3b1bc1dc73373d3e2e8770b09259</vt:lpwstr>
  </property>
</Properties>
</file>