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CC5CE"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b/>
          <w:color w:val="010000"/>
          <w:sz w:val="20"/>
          <w:szCs w:val="20"/>
        </w:rPr>
      </w:pPr>
      <w:r w:rsidRPr="00BB2151">
        <w:rPr>
          <w:rFonts w:ascii="Arial" w:hAnsi="Arial" w:cs="Arial"/>
          <w:b/>
          <w:color w:val="010000"/>
          <w:sz w:val="20"/>
          <w:szCs w:val="20"/>
        </w:rPr>
        <w:t>BGW: Annual General Mandate 2024</w:t>
      </w:r>
    </w:p>
    <w:p w14:paraId="31FD3ED0"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On April 14, 2024, Bac Giang Clean Water Joint Stock Company announced General Mandate No. 22/NQ-DHDCDTN-NSBG as follows:</w:t>
      </w:r>
    </w:p>
    <w:p w14:paraId="5B5F7645"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Article 1: Approve the reports at the General Meeting.</w:t>
      </w:r>
    </w:p>
    <w:p w14:paraId="7849248E" w14:textId="77777777" w:rsidR="00A16884" w:rsidRPr="00BB2151" w:rsidRDefault="006118F1" w:rsidP="00BB2151">
      <w:pPr>
        <w:numPr>
          <w:ilvl w:val="0"/>
          <w:numId w:val="7"/>
        </w:numPr>
        <w:pBdr>
          <w:top w:val="nil"/>
          <w:left w:val="nil"/>
          <w:bottom w:val="nil"/>
          <w:right w:val="nil"/>
          <w:between w:val="nil"/>
        </w:pBdr>
        <w:tabs>
          <w:tab w:val="left" w:pos="432"/>
          <w:tab w:val="left" w:pos="149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Report on the activities of the Board of Directors in 2023 and the direction of tasks for 2024.</w:t>
      </w:r>
    </w:p>
    <w:p w14:paraId="290C6694" w14:textId="77777777" w:rsidR="00A16884" w:rsidRPr="00BB2151" w:rsidRDefault="006118F1" w:rsidP="00BB2151">
      <w:pPr>
        <w:numPr>
          <w:ilvl w:val="0"/>
          <w:numId w:val="7"/>
        </w:numPr>
        <w:pBdr>
          <w:top w:val="nil"/>
          <w:left w:val="nil"/>
          <w:bottom w:val="nil"/>
          <w:right w:val="nil"/>
          <w:between w:val="nil"/>
        </w:pBdr>
        <w:tabs>
          <w:tab w:val="left" w:pos="432"/>
          <w:tab w:val="left" w:pos="1499"/>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Report on activities of the Supervisory Board in 2023 and the orientation for 2024.</w:t>
      </w:r>
    </w:p>
    <w:p w14:paraId="5BC81381" w14:textId="77777777" w:rsidR="00A16884" w:rsidRPr="00BB2151" w:rsidRDefault="006118F1" w:rsidP="00BB2151">
      <w:pPr>
        <w:numPr>
          <w:ilvl w:val="0"/>
          <w:numId w:val="7"/>
        </w:numPr>
        <w:pBdr>
          <w:top w:val="nil"/>
          <w:left w:val="nil"/>
          <w:bottom w:val="nil"/>
          <w:right w:val="nil"/>
          <w:between w:val="nil"/>
        </w:pBdr>
        <w:tabs>
          <w:tab w:val="left" w:pos="432"/>
          <w:tab w:val="left" w:pos="150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Report on activities of the Supervisory Board in 2023 and Orientation in 2024.</w:t>
      </w:r>
    </w:p>
    <w:p w14:paraId="25A1309A" w14:textId="77777777" w:rsidR="00A16884" w:rsidRPr="00BB2151" w:rsidRDefault="006118F1" w:rsidP="00BB215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B2151">
        <w:rPr>
          <w:rFonts w:ascii="Arial" w:hAnsi="Arial" w:cs="Arial"/>
          <w:color w:val="010000"/>
          <w:sz w:val="20"/>
          <w:szCs w:val="20"/>
        </w:rPr>
        <w:t>Completed targets for 2023:</w:t>
      </w:r>
    </w:p>
    <w:p w14:paraId="33D25DA3" w14:textId="77777777" w:rsidR="00A16884" w:rsidRPr="00BB2151" w:rsidRDefault="006118F1" w:rsidP="00BB2151">
      <w:pPr>
        <w:tabs>
          <w:tab w:val="left" w:pos="432"/>
          <w:tab w:val="left" w:pos="150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 Total revenue: VND 175.598 billion;</w:t>
      </w:r>
    </w:p>
    <w:p w14:paraId="285EF9F4" w14:textId="77777777" w:rsidR="00A16884" w:rsidRPr="00BB2151" w:rsidRDefault="006118F1" w:rsidP="00BB2151">
      <w:pPr>
        <w:tabs>
          <w:tab w:val="left" w:pos="432"/>
          <w:tab w:val="left" w:pos="150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Payable to state budget: VND 17.401 billion;</w:t>
      </w:r>
    </w:p>
    <w:p w14:paraId="5EA7C0E8" w14:textId="77777777" w:rsidR="00A16884" w:rsidRPr="00BB2151" w:rsidRDefault="006118F1" w:rsidP="00BB2151">
      <w:pPr>
        <w:tabs>
          <w:tab w:val="left" w:pos="432"/>
          <w:tab w:val="left" w:pos="150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 Investment: VND 29.850 billion;</w:t>
      </w:r>
    </w:p>
    <w:p w14:paraId="64A0781E" w14:textId="77777777" w:rsidR="00A16884" w:rsidRPr="00BB2151" w:rsidRDefault="006118F1" w:rsidP="00BB2151">
      <w:pPr>
        <w:tabs>
          <w:tab w:val="left" w:pos="432"/>
          <w:tab w:val="left" w:pos="150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 Water revenue:</w:t>
      </w:r>
    </w:p>
    <w:p w14:paraId="7B2D100E" w14:textId="77777777" w:rsidR="00A16884" w:rsidRPr="00BB2151" w:rsidRDefault="006118F1" w:rsidP="00BB2151">
      <w:pPr>
        <w:tabs>
          <w:tab w:val="left" w:pos="432"/>
          <w:tab w:val="left" w:pos="150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Bac Giang area: VND 167,795 billion (including tax)</w:t>
      </w:r>
    </w:p>
    <w:p w14:paraId="0ACDDE47" w14:textId="77777777" w:rsidR="00A16884" w:rsidRPr="00BB2151" w:rsidRDefault="006118F1" w:rsidP="00BB2151">
      <w:pPr>
        <w:tabs>
          <w:tab w:val="left" w:pos="432"/>
          <w:tab w:val="left" w:pos="150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Luc Nam area: VND 6,066 billion (including tax)</w:t>
      </w:r>
    </w:p>
    <w:p w14:paraId="16D50092" w14:textId="77777777" w:rsidR="00A16884" w:rsidRPr="00BB2151" w:rsidRDefault="006118F1" w:rsidP="00BB2151">
      <w:pPr>
        <w:tabs>
          <w:tab w:val="left" w:pos="432"/>
          <w:tab w:val="left" w:pos="150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Commercial water:</w:t>
      </w:r>
    </w:p>
    <w:p w14:paraId="04838C0D" w14:textId="77777777" w:rsidR="00A16884" w:rsidRPr="00BB2151" w:rsidRDefault="006118F1" w:rsidP="00BB2151">
      <w:pPr>
        <w:tabs>
          <w:tab w:val="left" w:pos="432"/>
          <w:tab w:val="left" w:pos="150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Bac Giang area: 15.446 million m3</w:t>
      </w:r>
    </w:p>
    <w:p w14:paraId="45A08C3D" w14:textId="77777777" w:rsidR="00A16884" w:rsidRPr="00BB2151" w:rsidRDefault="006118F1" w:rsidP="00BB2151">
      <w:pPr>
        <w:tabs>
          <w:tab w:val="left" w:pos="432"/>
          <w:tab w:val="left" w:pos="150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 xml:space="preserve">Luc Nam area: 621,700 thousand m3 </w:t>
      </w:r>
    </w:p>
    <w:p w14:paraId="3B30DEDF" w14:textId="77777777" w:rsidR="00A16884" w:rsidRPr="00BB2151" w:rsidRDefault="006118F1" w:rsidP="00BB215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B2151">
        <w:rPr>
          <w:rFonts w:ascii="Arial" w:hAnsi="Arial" w:cs="Arial"/>
          <w:color w:val="010000"/>
          <w:sz w:val="20"/>
          <w:szCs w:val="20"/>
        </w:rPr>
        <w:t>Production and business plan for 2024:</w:t>
      </w:r>
    </w:p>
    <w:p w14:paraId="5CE2DB44" w14:textId="77777777" w:rsidR="00A16884" w:rsidRPr="00BB2151" w:rsidRDefault="006118F1" w:rsidP="00BB2151">
      <w:pPr>
        <w:numPr>
          <w:ilvl w:val="0"/>
          <w:numId w:val="6"/>
        </w:numPr>
        <w:pBdr>
          <w:top w:val="nil"/>
          <w:left w:val="nil"/>
          <w:bottom w:val="nil"/>
          <w:right w:val="nil"/>
          <w:between w:val="nil"/>
        </w:pBdr>
        <w:tabs>
          <w:tab w:val="left" w:pos="151"/>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Water revenue</w:t>
      </w:r>
    </w:p>
    <w:p w14:paraId="060299C5" w14:textId="53CF4A28" w:rsidR="00A16884" w:rsidRPr="00BB2151" w:rsidRDefault="006118F1" w:rsidP="00BB21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B2151">
        <w:rPr>
          <w:rFonts w:ascii="Arial" w:hAnsi="Arial" w:cs="Arial"/>
          <w:color w:val="010000"/>
          <w:sz w:val="20"/>
          <w:szCs w:val="20"/>
        </w:rPr>
        <w:t>Bac Giang VND 174.500 billion</w:t>
      </w:r>
    </w:p>
    <w:p w14:paraId="2CD1DAC8" w14:textId="49F50032" w:rsidR="00A16884" w:rsidRPr="00BB2151" w:rsidRDefault="006118F1" w:rsidP="00BB215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B2151">
        <w:rPr>
          <w:rFonts w:ascii="Arial" w:hAnsi="Arial" w:cs="Arial"/>
          <w:color w:val="010000"/>
          <w:sz w:val="20"/>
          <w:szCs w:val="20"/>
        </w:rPr>
        <w:t>Luc Nam: VND 6.500 billion</w:t>
      </w:r>
    </w:p>
    <w:p w14:paraId="09C2F7B0" w14:textId="683457AA" w:rsidR="00A16884" w:rsidRPr="00BB2151" w:rsidRDefault="006118F1" w:rsidP="00BB2151">
      <w:pPr>
        <w:numPr>
          <w:ilvl w:val="0"/>
          <w:numId w:val="6"/>
        </w:numPr>
        <w:pBdr>
          <w:top w:val="nil"/>
          <w:left w:val="nil"/>
          <w:bottom w:val="nil"/>
          <w:right w:val="nil"/>
          <w:between w:val="nil"/>
        </w:pBdr>
        <w:tabs>
          <w:tab w:val="left" w:pos="140"/>
          <w:tab w:val="left" w:pos="432"/>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Commercial water:</w:t>
      </w:r>
    </w:p>
    <w:p w14:paraId="17A4C3ED" w14:textId="096367BC" w:rsidR="00A16884" w:rsidRPr="00BB2151" w:rsidRDefault="006118F1" w:rsidP="00BB2151">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Bac Giang 16.157 million m3</w:t>
      </w:r>
    </w:p>
    <w:p w14:paraId="26FD1C4A" w14:textId="2847FC2B" w:rsidR="00A16884" w:rsidRPr="00BB2151" w:rsidRDefault="006118F1" w:rsidP="00BB2151">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 Luc Nam: 668 thousand m3</w:t>
      </w:r>
    </w:p>
    <w:p w14:paraId="5732F768" w14:textId="77777777" w:rsidR="00A16884" w:rsidRPr="00BB2151" w:rsidRDefault="006118F1" w:rsidP="00BB2151">
      <w:pPr>
        <w:numPr>
          <w:ilvl w:val="0"/>
          <w:numId w:val="6"/>
        </w:numPr>
        <w:pBdr>
          <w:top w:val="nil"/>
          <w:left w:val="nil"/>
          <w:bottom w:val="nil"/>
          <w:right w:val="nil"/>
          <w:between w:val="nil"/>
        </w:pBdr>
        <w:tabs>
          <w:tab w:val="left" w:pos="151"/>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 Network loss:</w:t>
      </w:r>
    </w:p>
    <w:p w14:paraId="594A3748" w14:textId="15443907" w:rsidR="00A16884" w:rsidRPr="00BB2151" w:rsidRDefault="006118F1" w:rsidP="00BB2151">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Bac Giang 10.2%</w:t>
      </w:r>
    </w:p>
    <w:p w14:paraId="0F37B195" w14:textId="08953FA9" w:rsidR="00A16884" w:rsidRPr="00BB2151" w:rsidRDefault="006118F1" w:rsidP="00BB2151">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Luc Nam: 12%</w:t>
      </w:r>
    </w:p>
    <w:p w14:paraId="66A44E3C" w14:textId="3D29DEBA" w:rsidR="00A16884" w:rsidRPr="00BB2151" w:rsidRDefault="006118F1" w:rsidP="00BB2151">
      <w:pPr>
        <w:numPr>
          <w:ilvl w:val="0"/>
          <w:numId w:val="6"/>
        </w:numPr>
        <w:pBdr>
          <w:top w:val="nil"/>
          <w:left w:val="nil"/>
          <w:bottom w:val="nil"/>
          <w:right w:val="nil"/>
          <w:between w:val="nil"/>
        </w:pBdr>
        <w:tabs>
          <w:tab w:val="left" w:pos="158"/>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Investment work: VND 21 billion</w:t>
      </w:r>
    </w:p>
    <w:p w14:paraId="485A3AF9"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Article 2: Approve the investment policy for the project "Construction of the Company's office headquarters"</w:t>
      </w:r>
    </w:p>
    <w:p w14:paraId="489540DE" w14:textId="77777777" w:rsidR="00A16884" w:rsidRPr="00BB2151" w:rsidRDefault="006118F1" w:rsidP="00BB2151">
      <w:pPr>
        <w:numPr>
          <w:ilvl w:val="0"/>
          <w:numId w:val="7"/>
        </w:numPr>
        <w:pBdr>
          <w:top w:val="nil"/>
          <w:left w:val="nil"/>
          <w:bottom w:val="nil"/>
          <w:right w:val="nil"/>
          <w:between w:val="nil"/>
        </w:pBdr>
        <w:tabs>
          <w:tab w:val="left" w:pos="432"/>
          <w:tab w:val="left" w:pos="107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lastRenderedPageBreak/>
        <w:t>Total estimated investment value: VND 43,000,000,000</w:t>
      </w:r>
    </w:p>
    <w:p w14:paraId="20E65965" w14:textId="77777777" w:rsidR="00A16884" w:rsidRPr="00BB2151" w:rsidRDefault="006118F1" w:rsidP="00BB2151">
      <w:pPr>
        <w:numPr>
          <w:ilvl w:val="0"/>
          <w:numId w:val="7"/>
        </w:numPr>
        <w:pBdr>
          <w:top w:val="nil"/>
          <w:left w:val="nil"/>
          <w:bottom w:val="nil"/>
          <w:right w:val="nil"/>
          <w:between w:val="nil"/>
        </w:pBdr>
        <w:tabs>
          <w:tab w:val="left" w:pos="432"/>
          <w:tab w:val="left" w:pos="107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Implementation time: From 2025 to the end of 2027.</w:t>
      </w:r>
    </w:p>
    <w:p w14:paraId="40003BE0"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Article 3: Approve the Financial Statements; Profit distribution plan.</w:t>
      </w:r>
    </w:p>
    <w:p w14:paraId="6405E574" w14:textId="77777777" w:rsidR="00A16884" w:rsidRPr="00BB2151" w:rsidRDefault="006118F1" w:rsidP="00BB2151">
      <w:pPr>
        <w:numPr>
          <w:ilvl w:val="0"/>
          <w:numId w:val="1"/>
        </w:numPr>
        <w:pBdr>
          <w:top w:val="nil"/>
          <w:left w:val="nil"/>
          <w:bottom w:val="nil"/>
          <w:right w:val="nil"/>
          <w:between w:val="nil"/>
        </w:pBdr>
        <w:tabs>
          <w:tab w:val="left" w:pos="432"/>
          <w:tab w:val="left" w:pos="1104"/>
        </w:tabs>
        <w:spacing w:after="120" w:line="360" w:lineRule="auto"/>
        <w:ind w:left="0" w:firstLine="0"/>
        <w:jc w:val="both"/>
        <w:rPr>
          <w:rFonts w:ascii="Arial" w:eastAsia="Arial" w:hAnsi="Arial" w:cs="Arial"/>
          <w:color w:val="010000"/>
          <w:sz w:val="20"/>
          <w:szCs w:val="20"/>
        </w:rPr>
      </w:pPr>
      <w:r w:rsidRPr="00BB2151">
        <w:rPr>
          <w:rFonts w:ascii="Arial" w:hAnsi="Arial" w:cs="Arial"/>
          <w:color w:val="010000"/>
          <w:sz w:val="20"/>
          <w:szCs w:val="20"/>
        </w:rPr>
        <w:t>In 2023:</w:t>
      </w:r>
    </w:p>
    <w:p w14:paraId="51406E41" w14:textId="77777777" w:rsidR="00A16884" w:rsidRPr="00BB2151" w:rsidRDefault="006118F1" w:rsidP="00BB2151">
      <w:pPr>
        <w:numPr>
          <w:ilvl w:val="0"/>
          <w:numId w:val="7"/>
        </w:numPr>
        <w:pBdr>
          <w:top w:val="nil"/>
          <w:left w:val="nil"/>
          <w:bottom w:val="nil"/>
          <w:right w:val="nil"/>
          <w:between w:val="nil"/>
        </w:pBdr>
        <w:tabs>
          <w:tab w:val="left" w:pos="432"/>
          <w:tab w:val="left" w:pos="107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Total revenue: VND 175.598 billion</w:t>
      </w:r>
    </w:p>
    <w:p w14:paraId="2FD288A9" w14:textId="77777777" w:rsidR="00A16884" w:rsidRPr="00BB2151" w:rsidRDefault="006118F1" w:rsidP="00BB2151">
      <w:pPr>
        <w:numPr>
          <w:ilvl w:val="0"/>
          <w:numId w:val="7"/>
        </w:numPr>
        <w:pBdr>
          <w:top w:val="nil"/>
          <w:left w:val="nil"/>
          <w:bottom w:val="nil"/>
          <w:right w:val="nil"/>
          <w:between w:val="nil"/>
        </w:pBdr>
        <w:tabs>
          <w:tab w:val="left" w:pos="432"/>
          <w:tab w:val="left" w:pos="1083"/>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Profit after tax: VND 11.716 billion</w:t>
      </w:r>
    </w:p>
    <w:p w14:paraId="3AD17517" w14:textId="77777777" w:rsidR="00A16884" w:rsidRPr="00BB2151" w:rsidRDefault="006118F1" w:rsidP="00BB2151">
      <w:pPr>
        <w:numPr>
          <w:ilvl w:val="0"/>
          <w:numId w:val="7"/>
        </w:numPr>
        <w:pBdr>
          <w:top w:val="nil"/>
          <w:left w:val="nil"/>
          <w:bottom w:val="nil"/>
          <w:right w:val="nil"/>
          <w:between w:val="nil"/>
        </w:pBdr>
        <w:tabs>
          <w:tab w:val="left" w:pos="432"/>
          <w:tab w:val="left" w:pos="1083"/>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Dividend payment in 2023 (5.48%): VND 548/share.</w:t>
      </w:r>
    </w:p>
    <w:p w14:paraId="1085C7F4" w14:textId="77777777" w:rsidR="00A16884" w:rsidRPr="00BB2151" w:rsidRDefault="006118F1" w:rsidP="00BB2151">
      <w:pPr>
        <w:numPr>
          <w:ilvl w:val="0"/>
          <w:numId w:val="8"/>
        </w:numPr>
        <w:pBdr>
          <w:top w:val="nil"/>
          <w:left w:val="nil"/>
          <w:bottom w:val="nil"/>
          <w:right w:val="nil"/>
          <w:between w:val="nil"/>
        </w:pBdr>
        <w:tabs>
          <w:tab w:val="left" w:pos="432"/>
          <w:tab w:val="left" w:pos="1108"/>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Profit distribution plan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
        <w:gridCol w:w="5176"/>
        <w:gridCol w:w="3147"/>
      </w:tblGrid>
      <w:tr w:rsidR="00A16884" w:rsidRPr="00BB2151" w14:paraId="1267EE91" w14:textId="77777777" w:rsidTr="006118F1">
        <w:tc>
          <w:tcPr>
            <w:tcW w:w="385" w:type="pct"/>
            <w:shd w:val="clear" w:color="auto" w:fill="auto"/>
            <w:tcMar>
              <w:top w:w="0" w:type="dxa"/>
              <w:bottom w:w="0" w:type="dxa"/>
            </w:tcMar>
            <w:vAlign w:val="center"/>
          </w:tcPr>
          <w:p w14:paraId="775491E3"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No.</w:t>
            </w:r>
          </w:p>
        </w:tc>
        <w:tc>
          <w:tcPr>
            <w:tcW w:w="2870" w:type="pct"/>
            <w:shd w:val="clear" w:color="auto" w:fill="auto"/>
            <w:tcMar>
              <w:top w:w="0" w:type="dxa"/>
              <w:bottom w:w="0" w:type="dxa"/>
            </w:tcMar>
            <w:vAlign w:val="center"/>
          </w:tcPr>
          <w:p w14:paraId="026D9ECA"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Target</w:t>
            </w:r>
          </w:p>
        </w:tc>
        <w:tc>
          <w:tcPr>
            <w:tcW w:w="1745" w:type="pct"/>
            <w:shd w:val="clear" w:color="auto" w:fill="auto"/>
            <w:tcMar>
              <w:top w:w="0" w:type="dxa"/>
              <w:bottom w:w="0" w:type="dxa"/>
            </w:tcMar>
            <w:vAlign w:val="center"/>
          </w:tcPr>
          <w:p w14:paraId="42715F75" w14:textId="77777777" w:rsidR="00A16884" w:rsidRPr="00BB2151" w:rsidRDefault="006118F1" w:rsidP="0003297A">
            <w:pPr>
              <w:pBdr>
                <w:top w:val="nil"/>
                <w:left w:val="nil"/>
                <w:bottom w:val="nil"/>
                <w:right w:val="nil"/>
                <w:between w:val="nil"/>
              </w:pBdr>
              <w:spacing w:after="120" w:line="360" w:lineRule="auto"/>
              <w:jc w:val="center"/>
              <w:rPr>
                <w:rFonts w:ascii="Arial" w:eastAsia="Arial" w:hAnsi="Arial" w:cs="Arial"/>
                <w:color w:val="010000"/>
                <w:sz w:val="20"/>
                <w:szCs w:val="20"/>
              </w:rPr>
            </w:pPr>
            <w:r w:rsidRPr="00BB2151">
              <w:rPr>
                <w:rFonts w:ascii="Arial" w:hAnsi="Arial" w:cs="Arial"/>
                <w:color w:val="010000"/>
                <w:sz w:val="20"/>
                <w:szCs w:val="20"/>
              </w:rPr>
              <w:t>Profit distribution plan</w:t>
            </w:r>
          </w:p>
        </w:tc>
      </w:tr>
      <w:tr w:rsidR="00A16884" w:rsidRPr="00BB2151" w14:paraId="2F389C2E" w14:textId="77777777" w:rsidTr="006118F1">
        <w:tc>
          <w:tcPr>
            <w:tcW w:w="385" w:type="pct"/>
            <w:shd w:val="clear" w:color="auto" w:fill="auto"/>
            <w:tcMar>
              <w:top w:w="0" w:type="dxa"/>
              <w:bottom w:w="0" w:type="dxa"/>
            </w:tcMar>
            <w:vAlign w:val="center"/>
          </w:tcPr>
          <w:p w14:paraId="3837D9BD"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1</w:t>
            </w:r>
          </w:p>
        </w:tc>
        <w:tc>
          <w:tcPr>
            <w:tcW w:w="2870" w:type="pct"/>
            <w:shd w:val="clear" w:color="auto" w:fill="auto"/>
            <w:tcMar>
              <w:top w:w="0" w:type="dxa"/>
              <w:bottom w:w="0" w:type="dxa"/>
            </w:tcMar>
            <w:vAlign w:val="center"/>
          </w:tcPr>
          <w:p w14:paraId="51A8EFD1"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Charter capital at the end of the year</w:t>
            </w:r>
          </w:p>
        </w:tc>
        <w:tc>
          <w:tcPr>
            <w:tcW w:w="1745" w:type="pct"/>
            <w:shd w:val="clear" w:color="auto" w:fill="auto"/>
            <w:tcMar>
              <w:top w:w="0" w:type="dxa"/>
              <w:bottom w:w="0" w:type="dxa"/>
            </w:tcMar>
            <w:vAlign w:val="center"/>
          </w:tcPr>
          <w:p w14:paraId="5904FBB1" w14:textId="77777777" w:rsidR="00A16884" w:rsidRPr="00BB2151" w:rsidRDefault="006118F1" w:rsidP="0003297A">
            <w:pPr>
              <w:pBdr>
                <w:top w:val="nil"/>
                <w:left w:val="nil"/>
                <w:bottom w:val="nil"/>
                <w:right w:val="nil"/>
                <w:between w:val="nil"/>
              </w:pBdr>
              <w:spacing w:after="120" w:line="360" w:lineRule="auto"/>
              <w:jc w:val="center"/>
              <w:rPr>
                <w:rFonts w:ascii="Arial" w:eastAsia="Arial" w:hAnsi="Arial" w:cs="Arial"/>
                <w:color w:val="010000"/>
                <w:sz w:val="20"/>
                <w:szCs w:val="20"/>
              </w:rPr>
            </w:pPr>
            <w:r w:rsidRPr="00BB2151">
              <w:rPr>
                <w:rFonts w:ascii="Arial" w:hAnsi="Arial" w:cs="Arial"/>
                <w:color w:val="010000"/>
                <w:sz w:val="20"/>
                <w:szCs w:val="20"/>
              </w:rPr>
              <w:t>VND 181.494 billion</w:t>
            </w:r>
          </w:p>
        </w:tc>
      </w:tr>
      <w:tr w:rsidR="00A16884" w:rsidRPr="00BB2151" w14:paraId="46EB094B" w14:textId="77777777" w:rsidTr="006118F1">
        <w:tc>
          <w:tcPr>
            <w:tcW w:w="385" w:type="pct"/>
            <w:shd w:val="clear" w:color="auto" w:fill="auto"/>
            <w:tcMar>
              <w:top w:w="0" w:type="dxa"/>
              <w:bottom w:w="0" w:type="dxa"/>
            </w:tcMar>
            <w:vAlign w:val="center"/>
          </w:tcPr>
          <w:p w14:paraId="29CC5340"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2</w:t>
            </w:r>
          </w:p>
        </w:tc>
        <w:tc>
          <w:tcPr>
            <w:tcW w:w="2870" w:type="pct"/>
            <w:shd w:val="clear" w:color="auto" w:fill="auto"/>
            <w:tcMar>
              <w:top w:w="0" w:type="dxa"/>
              <w:bottom w:w="0" w:type="dxa"/>
            </w:tcMar>
            <w:vAlign w:val="center"/>
          </w:tcPr>
          <w:p w14:paraId="1EA27D1E"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Total revenue</w:t>
            </w:r>
          </w:p>
        </w:tc>
        <w:tc>
          <w:tcPr>
            <w:tcW w:w="1745" w:type="pct"/>
            <w:shd w:val="clear" w:color="auto" w:fill="auto"/>
            <w:tcMar>
              <w:top w:w="0" w:type="dxa"/>
              <w:bottom w:w="0" w:type="dxa"/>
            </w:tcMar>
            <w:vAlign w:val="center"/>
          </w:tcPr>
          <w:p w14:paraId="5AA6AA95" w14:textId="77777777" w:rsidR="00A16884" w:rsidRPr="00BB2151" w:rsidRDefault="006118F1" w:rsidP="0003297A">
            <w:pPr>
              <w:pBdr>
                <w:top w:val="nil"/>
                <w:left w:val="nil"/>
                <w:bottom w:val="nil"/>
                <w:right w:val="nil"/>
                <w:between w:val="nil"/>
              </w:pBdr>
              <w:spacing w:after="120" w:line="360" w:lineRule="auto"/>
              <w:jc w:val="center"/>
              <w:rPr>
                <w:rFonts w:ascii="Arial" w:eastAsia="Arial" w:hAnsi="Arial" w:cs="Arial"/>
                <w:color w:val="010000"/>
                <w:sz w:val="20"/>
                <w:szCs w:val="20"/>
              </w:rPr>
            </w:pPr>
            <w:r w:rsidRPr="00BB2151">
              <w:rPr>
                <w:rFonts w:ascii="Arial" w:hAnsi="Arial" w:cs="Arial"/>
                <w:color w:val="010000"/>
                <w:sz w:val="20"/>
                <w:szCs w:val="20"/>
              </w:rPr>
              <w:t>VND 180 billion</w:t>
            </w:r>
          </w:p>
        </w:tc>
      </w:tr>
      <w:tr w:rsidR="00A16884" w:rsidRPr="00BB2151" w14:paraId="080B5B0A" w14:textId="77777777" w:rsidTr="006118F1">
        <w:tc>
          <w:tcPr>
            <w:tcW w:w="385" w:type="pct"/>
            <w:shd w:val="clear" w:color="auto" w:fill="auto"/>
            <w:tcMar>
              <w:top w:w="0" w:type="dxa"/>
              <w:bottom w:w="0" w:type="dxa"/>
            </w:tcMar>
            <w:vAlign w:val="center"/>
          </w:tcPr>
          <w:p w14:paraId="41D0630E"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3</w:t>
            </w:r>
          </w:p>
        </w:tc>
        <w:tc>
          <w:tcPr>
            <w:tcW w:w="2870" w:type="pct"/>
            <w:shd w:val="clear" w:color="auto" w:fill="auto"/>
            <w:tcMar>
              <w:top w:w="0" w:type="dxa"/>
              <w:bottom w:w="0" w:type="dxa"/>
            </w:tcMar>
            <w:vAlign w:val="center"/>
          </w:tcPr>
          <w:p w14:paraId="7274DDA2" w14:textId="2E654449" w:rsidR="00A16884" w:rsidRPr="00BB2151" w:rsidRDefault="00BB215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szCs w:val="20"/>
              </w:rPr>
              <w:t>Total expenses</w:t>
            </w:r>
          </w:p>
        </w:tc>
        <w:tc>
          <w:tcPr>
            <w:tcW w:w="1745" w:type="pct"/>
            <w:shd w:val="clear" w:color="auto" w:fill="auto"/>
            <w:tcMar>
              <w:top w:w="0" w:type="dxa"/>
              <w:bottom w:w="0" w:type="dxa"/>
            </w:tcMar>
            <w:vAlign w:val="center"/>
          </w:tcPr>
          <w:p w14:paraId="08678FFC" w14:textId="77777777" w:rsidR="00A16884" w:rsidRPr="00BB2151" w:rsidRDefault="006118F1" w:rsidP="0003297A">
            <w:pPr>
              <w:pBdr>
                <w:top w:val="nil"/>
                <w:left w:val="nil"/>
                <w:bottom w:val="nil"/>
                <w:right w:val="nil"/>
                <w:between w:val="nil"/>
              </w:pBdr>
              <w:spacing w:after="120" w:line="360" w:lineRule="auto"/>
              <w:jc w:val="center"/>
              <w:rPr>
                <w:rFonts w:ascii="Arial" w:eastAsia="Arial" w:hAnsi="Arial" w:cs="Arial"/>
                <w:color w:val="010000"/>
                <w:sz w:val="20"/>
                <w:szCs w:val="20"/>
              </w:rPr>
            </w:pPr>
            <w:r w:rsidRPr="00BB2151">
              <w:rPr>
                <w:rFonts w:ascii="Arial" w:hAnsi="Arial" w:cs="Arial"/>
                <w:color w:val="010000"/>
                <w:sz w:val="20"/>
                <w:szCs w:val="20"/>
              </w:rPr>
              <w:t>VND 166 billion</w:t>
            </w:r>
          </w:p>
        </w:tc>
      </w:tr>
      <w:tr w:rsidR="00A16884" w:rsidRPr="00BB2151" w14:paraId="6F6605CB" w14:textId="77777777" w:rsidTr="006118F1">
        <w:tc>
          <w:tcPr>
            <w:tcW w:w="385" w:type="pct"/>
            <w:shd w:val="clear" w:color="auto" w:fill="auto"/>
            <w:tcMar>
              <w:top w:w="0" w:type="dxa"/>
              <w:bottom w:w="0" w:type="dxa"/>
            </w:tcMar>
            <w:vAlign w:val="center"/>
          </w:tcPr>
          <w:p w14:paraId="36B053B8"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4</w:t>
            </w:r>
          </w:p>
        </w:tc>
        <w:tc>
          <w:tcPr>
            <w:tcW w:w="2870" w:type="pct"/>
            <w:shd w:val="clear" w:color="auto" w:fill="auto"/>
            <w:tcMar>
              <w:top w:w="0" w:type="dxa"/>
              <w:bottom w:w="0" w:type="dxa"/>
            </w:tcMar>
            <w:vAlign w:val="center"/>
          </w:tcPr>
          <w:p w14:paraId="25887F74"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Profit before tax</w:t>
            </w:r>
          </w:p>
        </w:tc>
        <w:tc>
          <w:tcPr>
            <w:tcW w:w="1745" w:type="pct"/>
            <w:shd w:val="clear" w:color="auto" w:fill="auto"/>
            <w:tcMar>
              <w:top w:w="0" w:type="dxa"/>
              <w:bottom w:w="0" w:type="dxa"/>
            </w:tcMar>
            <w:vAlign w:val="center"/>
          </w:tcPr>
          <w:p w14:paraId="008E552B" w14:textId="77777777" w:rsidR="00A16884" w:rsidRPr="00BB2151" w:rsidRDefault="006118F1" w:rsidP="0003297A">
            <w:pPr>
              <w:pBdr>
                <w:top w:val="nil"/>
                <w:left w:val="nil"/>
                <w:bottom w:val="nil"/>
                <w:right w:val="nil"/>
                <w:between w:val="nil"/>
              </w:pBdr>
              <w:spacing w:after="120" w:line="360" w:lineRule="auto"/>
              <w:jc w:val="center"/>
              <w:rPr>
                <w:rFonts w:ascii="Arial" w:eastAsia="Arial" w:hAnsi="Arial" w:cs="Arial"/>
                <w:color w:val="010000"/>
                <w:sz w:val="20"/>
                <w:szCs w:val="20"/>
              </w:rPr>
            </w:pPr>
            <w:r w:rsidRPr="00BB2151">
              <w:rPr>
                <w:rFonts w:ascii="Arial" w:hAnsi="Arial" w:cs="Arial"/>
                <w:color w:val="010000"/>
                <w:sz w:val="20"/>
                <w:szCs w:val="20"/>
              </w:rPr>
              <w:t>VND 14 billion</w:t>
            </w:r>
          </w:p>
        </w:tc>
      </w:tr>
      <w:tr w:rsidR="00A16884" w:rsidRPr="00BB2151" w14:paraId="028BADF3" w14:textId="77777777" w:rsidTr="006118F1">
        <w:tc>
          <w:tcPr>
            <w:tcW w:w="385" w:type="pct"/>
            <w:shd w:val="clear" w:color="auto" w:fill="auto"/>
            <w:tcMar>
              <w:top w:w="0" w:type="dxa"/>
              <w:bottom w:w="0" w:type="dxa"/>
            </w:tcMar>
            <w:vAlign w:val="center"/>
          </w:tcPr>
          <w:p w14:paraId="37F93F46"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5</w:t>
            </w:r>
          </w:p>
        </w:tc>
        <w:tc>
          <w:tcPr>
            <w:tcW w:w="2870" w:type="pct"/>
            <w:shd w:val="clear" w:color="auto" w:fill="auto"/>
            <w:tcMar>
              <w:top w:w="0" w:type="dxa"/>
              <w:bottom w:w="0" w:type="dxa"/>
            </w:tcMar>
            <w:vAlign w:val="center"/>
          </w:tcPr>
          <w:p w14:paraId="6FFD2F7A"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Profit after tax</w:t>
            </w:r>
          </w:p>
        </w:tc>
        <w:tc>
          <w:tcPr>
            <w:tcW w:w="1745" w:type="pct"/>
            <w:shd w:val="clear" w:color="auto" w:fill="auto"/>
            <w:tcMar>
              <w:top w:w="0" w:type="dxa"/>
              <w:bottom w:w="0" w:type="dxa"/>
            </w:tcMar>
            <w:vAlign w:val="center"/>
          </w:tcPr>
          <w:p w14:paraId="5F134D5C" w14:textId="77777777" w:rsidR="00A16884" w:rsidRPr="00BB2151" w:rsidRDefault="006118F1" w:rsidP="0003297A">
            <w:pPr>
              <w:pBdr>
                <w:top w:val="nil"/>
                <w:left w:val="nil"/>
                <w:bottom w:val="nil"/>
                <w:right w:val="nil"/>
                <w:between w:val="nil"/>
              </w:pBdr>
              <w:spacing w:after="120" w:line="360" w:lineRule="auto"/>
              <w:jc w:val="center"/>
              <w:rPr>
                <w:rFonts w:ascii="Arial" w:eastAsia="Arial" w:hAnsi="Arial" w:cs="Arial"/>
                <w:color w:val="010000"/>
                <w:sz w:val="20"/>
                <w:szCs w:val="20"/>
              </w:rPr>
            </w:pPr>
            <w:r w:rsidRPr="00BB2151">
              <w:rPr>
                <w:rFonts w:ascii="Arial" w:hAnsi="Arial" w:cs="Arial"/>
                <w:color w:val="010000"/>
                <w:sz w:val="20"/>
                <w:szCs w:val="20"/>
              </w:rPr>
              <w:t>VND 11.2 billion</w:t>
            </w:r>
          </w:p>
        </w:tc>
      </w:tr>
      <w:tr w:rsidR="00A16884" w:rsidRPr="00BB2151" w14:paraId="71C6D9D9" w14:textId="77777777" w:rsidTr="006118F1">
        <w:tc>
          <w:tcPr>
            <w:tcW w:w="385" w:type="pct"/>
            <w:shd w:val="clear" w:color="auto" w:fill="auto"/>
            <w:tcMar>
              <w:top w:w="0" w:type="dxa"/>
              <w:bottom w:w="0" w:type="dxa"/>
            </w:tcMar>
            <w:vAlign w:val="center"/>
          </w:tcPr>
          <w:p w14:paraId="439CE97E"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6</w:t>
            </w:r>
          </w:p>
        </w:tc>
        <w:tc>
          <w:tcPr>
            <w:tcW w:w="2870" w:type="pct"/>
            <w:shd w:val="clear" w:color="auto" w:fill="auto"/>
            <w:tcMar>
              <w:top w:w="0" w:type="dxa"/>
              <w:bottom w:w="0" w:type="dxa"/>
            </w:tcMar>
            <w:vAlign w:val="center"/>
          </w:tcPr>
          <w:p w14:paraId="75B652AD"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profit after tax 2024 used for distribution (entire amount)</w:t>
            </w:r>
          </w:p>
        </w:tc>
        <w:tc>
          <w:tcPr>
            <w:tcW w:w="1745" w:type="pct"/>
            <w:shd w:val="clear" w:color="auto" w:fill="auto"/>
            <w:tcMar>
              <w:top w:w="0" w:type="dxa"/>
              <w:bottom w:w="0" w:type="dxa"/>
            </w:tcMar>
            <w:vAlign w:val="center"/>
          </w:tcPr>
          <w:p w14:paraId="6E8EA7C3" w14:textId="77777777" w:rsidR="00A16884" w:rsidRPr="00BB2151" w:rsidRDefault="006118F1" w:rsidP="0003297A">
            <w:pPr>
              <w:pBdr>
                <w:top w:val="nil"/>
                <w:left w:val="nil"/>
                <w:bottom w:val="nil"/>
                <w:right w:val="nil"/>
                <w:between w:val="nil"/>
              </w:pBdr>
              <w:spacing w:after="120" w:line="360" w:lineRule="auto"/>
              <w:jc w:val="center"/>
              <w:rPr>
                <w:rFonts w:ascii="Arial" w:eastAsia="Arial" w:hAnsi="Arial" w:cs="Arial"/>
                <w:color w:val="010000"/>
                <w:sz w:val="20"/>
                <w:szCs w:val="20"/>
              </w:rPr>
            </w:pPr>
            <w:r w:rsidRPr="00BB2151">
              <w:rPr>
                <w:rFonts w:ascii="Arial" w:hAnsi="Arial" w:cs="Arial"/>
                <w:color w:val="010000"/>
                <w:sz w:val="20"/>
                <w:szCs w:val="20"/>
              </w:rPr>
              <w:t>VND 11.2 billion</w:t>
            </w:r>
          </w:p>
        </w:tc>
      </w:tr>
      <w:tr w:rsidR="00A16884" w:rsidRPr="00BB2151" w14:paraId="0E4F2D61" w14:textId="77777777" w:rsidTr="006118F1">
        <w:tc>
          <w:tcPr>
            <w:tcW w:w="385" w:type="pct"/>
            <w:shd w:val="clear" w:color="auto" w:fill="auto"/>
            <w:tcMar>
              <w:top w:w="0" w:type="dxa"/>
              <w:bottom w:w="0" w:type="dxa"/>
            </w:tcMar>
            <w:vAlign w:val="center"/>
          </w:tcPr>
          <w:p w14:paraId="74A05D54"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7</w:t>
            </w:r>
          </w:p>
        </w:tc>
        <w:tc>
          <w:tcPr>
            <w:tcW w:w="2870" w:type="pct"/>
            <w:shd w:val="clear" w:color="auto" w:fill="auto"/>
            <w:tcMar>
              <w:top w:w="0" w:type="dxa"/>
              <w:bottom w:w="0" w:type="dxa"/>
            </w:tcMar>
            <w:vAlign w:val="center"/>
          </w:tcPr>
          <w:p w14:paraId="47295753"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Appropriation for funds from profit after tax in 2024</w:t>
            </w:r>
          </w:p>
          <w:p w14:paraId="1807F614" w14:textId="4CE9B96D" w:rsidR="00A16884" w:rsidRPr="00BB2151" w:rsidRDefault="006118F1" w:rsidP="00BB215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B2151">
              <w:rPr>
                <w:rFonts w:ascii="Arial" w:hAnsi="Arial" w:cs="Arial"/>
                <w:color w:val="010000"/>
                <w:sz w:val="20"/>
                <w:szCs w:val="20"/>
              </w:rPr>
              <w:t>Bonus and welfare fund: (10%)</w:t>
            </w:r>
          </w:p>
        </w:tc>
        <w:tc>
          <w:tcPr>
            <w:tcW w:w="1745" w:type="pct"/>
            <w:shd w:val="clear" w:color="auto" w:fill="auto"/>
            <w:tcMar>
              <w:top w:w="0" w:type="dxa"/>
              <w:bottom w:w="0" w:type="dxa"/>
            </w:tcMar>
            <w:vAlign w:val="center"/>
          </w:tcPr>
          <w:p w14:paraId="04781877" w14:textId="77777777" w:rsidR="00A16884" w:rsidRPr="00BB2151" w:rsidRDefault="006118F1" w:rsidP="0003297A">
            <w:pPr>
              <w:pBdr>
                <w:top w:val="nil"/>
                <w:left w:val="nil"/>
                <w:bottom w:val="nil"/>
                <w:right w:val="nil"/>
                <w:between w:val="nil"/>
              </w:pBdr>
              <w:spacing w:after="120" w:line="360" w:lineRule="auto"/>
              <w:jc w:val="center"/>
              <w:rPr>
                <w:rFonts w:ascii="Arial" w:eastAsia="Arial" w:hAnsi="Arial" w:cs="Arial"/>
                <w:color w:val="010000"/>
                <w:sz w:val="20"/>
                <w:szCs w:val="20"/>
              </w:rPr>
            </w:pPr>
            <w:r w:rsidRPr="00BB2151">
              <w:rPr>
                <w:rFonts w:ascii="Arial" w:hAnsi="Arial" w:cs="Arial"/>
                <w:color w:val="010000"/>
                <w:sz w:val="20"/>
                <w:szCs w:val="20"/>
              </w:rPr>
              <w:t>VND 1.120 billion</w:t>
            </w:r>
          </w:p>
        </w:tc>
      </w:tr>
      <w:tr w:rsidR="00A16884" w:rsidRPr="00BB2151" w14:paraId="6D17E844" w14:textId="77777777" w:rsidTr="006118F1">
        <w:tc>
          <w:tcPr>
            <w:tcW w:w="385" w:type="pct"/>
            <w:shd w:val="clear" w:color="auto" w:fill="auto"/>
            <w:tcMar>
              <w:top w:w="0" w:type="dxa"/>
              <w:bottom w:w="0" w:type="dxa"/>
            </w:tcMar>
            <w:vAlign w:val="center"/>
          </w:tcPr>
          <w:p w14:paraId="0E8C92CC"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8</w:t>
            </w:r>
          </w:p>
        </w:tc>
        <w:tc>
          <w:tcPr>
            <w:tcW w:w="2870" w:type="pct"/>
            <w:shd w:val="clear" w:color="auto" w:fill="auto"/>
            <w:tcMar>
              <w:top w:w="0" w:type="dxa"/>
              <w:bottom w:w="0" w:type="dxa"/>
            </w:tcMar>
            <w:vAlign w:val="center"/>
          </w:tcPr>
          <w:p w14:paraId="41E84432"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Dividend distribution (entire remaining profit)</w:t>
            </w:r>
          </w:p>
        </w:tc>
        <w:tc>
          <w:tcPr>
            <w:tcW w:w="1745" w:type="pct"/>
            <w:shd w:val="clear" w:color="auto" w:fill="auto"/>
            <w:tcMar>
              <w:top w:w="0" w:type="dxa"/>
              <w:bottom w:w="0" w:type="dxa"/>
            </w:tcMar>
            <w:vAlign w:val="center"/>
          </w:tcPr>
          <w:p w14:paraId="068D12D3" w14:textId="77777777" w:rsidR="00A16884" w:rsidRPr="00BB2151" w:rsidRDefault="006118F1" w:rsidP="0003297A">
            <w:pPr>
              <w:pBdr>
                <w:top w:val="nil"/>
                <w:left w:val="nil"/>
                <w:bottom w:val="nil"/>
                <w:right w:val="nil"/>
                <w:between w:val="nil"/>
              </w:pBdr>
              <w:spacing w:after="120" w:line="360" w:lineRule="auto"/>
              <w:jc w:val="center"/>
              <w:rPr>
                <w:rFonts w:ascii="Arial" w:eastAsia="Arial" w:hAnsi="Arial" w:cs="Arial"/>
                <w:color w:val="010000"/>
                <w:sz w:val="20"/>
                <w:szCs w:val="20"/>
              </w:rPr>
            </w:pPr>
            <w:r w:rsidRPr="00BB2151">
              <w:rPr>
                <w:rFonts w:ascii="Arial" w:hAnsi="Arial" w:cs="Arial"/>
                <w:color w:val="010000"/>
                <w:sz w:val="20"/>
                <w:szCs w:val="20"/>
              </w:rPr>
              <w:t>VND 10.080 billion</w:t>
            </w:r>
          </w:p>
        </w:tc>
      </w:tr>
      <w:tr w:rsidR="00A16884" w:rsidRPr="00BB2151" w14:paraId="28C8966B" w14:textId="77777777" w:rsidTr="006118F1">
        <w:tc>
          <w:tcPr>
            <w:tcW w:w="385" w:type="pct"/>
            <w:shd w:val="clear" w:color="auto" w:fill="auto"/>
            <w:tcMar>
              <w:top w:w="0" w:type="dxa"/>
              <w:bottom w:w="0" w:type="dxa"/>
            </w:tcMar>
            <w:vAlign w:val="center"/>
          </w:tcPr>
          <w:p w14:paraId="49365AB6"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9</w:t>
            </w:r>
          </w:p>
        </w:tc>
        <w:tc>
          <w:tcPr>
            <w:tcW w:w="2870" w:type="pct"/>
            <w:shd w:val="clear" w:color="auto" w:fill="auto"/>
            <w:tcMar>
              <w:top w:w="0" w:type="dxa"/>
              <w:bottom w:w="0" w:type="dxa"/>
            </w:tcMar>
            <w:vAlign w:val="center"/>
          </w:tcPr>
          <w:p w14:paraId="4542C212" w14:textId="45AFD2E2"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Dividend pay</w:t>
            </w:r>
            <w:r w:rsidR="0003069C" w:rsidRPr="00BB2151">
              <w:rPr>
                <w:rFonts w:ascii="Arial" w:hAnsi="Arial" w:cs="Arial"/>
                <w:color w:val="010000"/>
                <w:sz w:val="20"/>
                <w:szCs w:val="20"/>
              </w:rPr>
              <w:t>ment</w:t>
            </w:r>
            <w:r w:rsidRPr="00BB2151">
              <w:rPr>
                <w:rFonts w:ascii="Arial" w:hAnsi="Arial" w:cs="Arial"/>
                <w:color w:val="010000"/>
                <w:sz w:val="20"/>
                <w:szCs w:val="20"/>
              </w:rPr>
              <w:t xml:space="preserve"> rate (5.55%)</w:t>
            </w:r>
          </w:p>
        </w:tc>
        <w:tc>
          <w:tcPr>
            <w:tcW w:w="1745" w:type="pct"/>
            <w:shd w:val="clear" w:color="auto" w:fill="auto"/>
            <w:tcMar>
              <w:top w:w="0" w:type="dxa"/>
              <w:bottom w:w="0" w:type="dxa"/>
            </w:tcMar>
            <w:vAlign w:val="center"/>
          </w:tcPr>
          <w:p w14:paraId="2D1C1118" w14:textId="77777777" w:rsidR="00A16884" w:rsidRPr="00BB2151" w:rsidRDefault="006118F1" w:rsidP="0003297A">
            <w:pPr>
              <w:pBdr>
                <w:top w:val="nil"/>
                <w:left w:val="nil"/>
                <w:bottom w:val="nil"/>
                <w:right w:val="nil"/>
                <w:between w:val="nil"/>
              </w:pBdr>
              <w:spacing w:after="120" w:line="360" w:lineRule="auto"/>
              <w:jc w:val="center"/>
              <w:rPr>
                <w:rFonts w:ascii="Arial" w:eastAsia="Arial" w:hAnsi="Arial" w:cs="Arial"/>
                <w:color w:val="010000"/>
                <w:sz w:val="20"/>
                <w:szCs w:val="20"/>
              </w:rPr>
            </w:pPr>
            <w:r w:rsidRPr="00BB2151">
              <w:rPr>
                <w:rFonts w:ascii="Arial" w:hAnsi="Arial" w:cs="Arial"/>
                <w:color w:val="010000"/>
                <w:sz w:val="20"/>
                <w:szCs w:val="20"/>
              </w:rPr>
              <w:t>VND 555/share</w:t>
            </w:r>
          </w:p>
        </w:tc>
      </w:tr>
    </w:tbl>
    <w:p w14:paraId="323F5266"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Article 4. Approve the remuneration report of the Board of Directors, Supervisory Board, Person in charge of corporate governance in 2023, and payment plan for 2024.</w:t>
      </w:r>
    </w:p>
    <w:p w14:paraId="4248F07E" w14:textId="77777777" w:rsidR="00A16884" w:rsidRPr="00BB2151" w:rsidRDefault="006118F1" w:rsidP="00BB215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B2151">
        <w:rPr>
          <w:rFonts w:ascii="Arial" w:hAnsi="Arial" w:cs="Arial"/>
          <w:color w:val="010000"/>
          <w:sz w:val="20"/>
          <w:szCs w:val="20"/>
        </w:rPr>
        <w:t>* Paid remuneration in 2023:</w:t>
      </w:r>
    </w:p>
    <w:p w14:paraId="033ED8A9" w14:textId="132367D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Member of the Board of Directors: VND 03 million/person/month</w:t>
      </w:r>
    </w:p>
    <w:p w14:paraId="1D0A786E" w14:textId="28CE5C8F"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Chief of Supervisory Board VND 02 million/person/month</w:t>
      </w:r>
    </w:p>
    <w:p w14:paraId="35BACDCF" w14:textId="14F2DFDE"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Members of the Supervisory Board: VND 1.5 million/person/month</w:t>
      </w:r>
    </w:p>
    <w:p w14:paraId="5A76515E" w14:textId="72BD2BB4"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Person in charge of corporate governance: VND 1.5 million/person/month</w:t>
      </w:r>
    </w:p>
    <w:p w14:paraId="081C74D2" w14:textId="77777777" w:rsidR="00A16884" w:rsidRPr="00BB2151" w:rsidRDefault="006118F1" w:rsidP="00BB215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B2151">
        <w:rPr>
          <w:rFonts w:ascii="Arial" w:hAnsi="Arial" w:cs="Arial"/>
          <w:color w:val="010000"/>
          <w:sz w:val="20"/>
          <w:szCs w:val="20"/>
        </w:rPr>
        <w:t>* Planned remuneration in 2024:</w:t>
      </w:r>
    </w:p>
    <w:p w14:paraId="46BA3E75" w14:textId="3B6C1666"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Member of the Board of Directors: VND 03 million/person/month</w:t>
      </w:r>
    </w:p>
    <w:p w14:paraId="71FAE1BF" w14:textId="7DBA37F1"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Chief of the Supervisory Board VND 02 million/person/month</w:t>
      </w:r>
    </w:p>
    <w:p w14:paraId="40B35506" w14:textId="7E3CB72B"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Members of the Supervisory Board: VND 1.5 million/person/month</w:t>
      </w:r>
    </w:p>
    <w:p w14:paraId="3AD18BBD" w14:textId="4D8FAEFC"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lastRenderedPageBreak/>
        <w:t>Person in charge of corporate governance: VND 1.5 million/person/month</w:t>
      </w:r>
    </w:p>
    <w:p w14:paraId="13EAB338"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Article 5: Approve the selection of an audit company for 2024;</w:t>
      </w:r>
    </w:p>
    <w:p w14:paraId="2DEA31DA" w14:textId="740DD220"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The General Meeting of Shareholders authorizes the Board of Directors based on the capacity, qualifications</w:t>
      </w:r>
      <w:r w:rsidR="0003297A">
        <w:rPr>
          <w:rFonts w:ascii="Arial" w:hAnsi="Arial" w:cs="Arial"/>
          <w:color w:val="010000"/>
          <w:sz w:val="20"/>
          <w:szCs w:val="20"/>
        </w:rPr>
        <w:t>,</w:t>
      </w:r>
      <w:r w:rsidRPr="00BB2151">
        <w:rPr>
          <w:rFonts w:ascii="Arial" w:hAnsi="Arial" w:cs="Arial"/>
          <w:color w:val="010000"/>
          <w:sz w:val="20"/>
          <w:szCs w:val="20"/>
        </w:rPr>
        <w:t xml:space="preserve"> and professional auditors of independent audit companies, meeting the auditing standards of companies listed on the stock exchange of the State Securities Commission, </w:t>
      </w:r>
      <w:r w:rsidR="0003297A">
        <w:rPr>
          <w:rFonts w:ascii="Arial" w:hAnsi="Arial" w:cs="Arial"/>
          <w:color w:val="010000"/>
          <w:sz w:val="20"/>
          <w:szCs w:val="20"/>
        </w:rPr>
        <w:t xml:space="preserve">to </w:t>
      </w:r>
      <w:r w:rsidRPr="00BB2151">
        <w:rPr>
          <w:rFonts w:ascii="Arial" w:hAnsi="Arial" w:cs="Arial"/>
          <w:color w:val="010000"/>
          <w:sz w:val="20"/>
          <w:szCs w:val="20"/>
        </w:rPr>
        <w:t>actively select an audit company for the fiscal year 2024.</w:t>
      </w:r>
    </w:p>
    <w:p w14:paraId="0C874F1E"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Article 6: Approve the dismissal of members of the Board of Directors, dismissal of members of the Supervisory Board, and additional election of members of the Board of Directors and Supervisory Board for the 2021-2026 term.</w:t>
      </w:r>
    </w:p>
    <w:p w14:paraId="3DF2D9FC" w14:textId="77777777" w:rsidR="00A16884" w:rsidRPr="00BB2151" w:rsidRDefault="006118F1" w:rsidP="0003297A">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BB2151">
        <w:rPr>
          <w:rFonts w:ascii="Arial" w:hAnsi="Arial" w:cs="Arial"/>
          <w:color w:val="010000"/>
          <w:sz w:val="20"/>
          <w:szCs w:val="20"/>
        </w:rPr>
        <w:t>For the Board of Directors:</w:t>
      </w:r>
    </w:p>
    <w:p w14:paraId="28A17935" w14:textId="77777777" w:rsidR="00A16884" w:rsidRPr="00BB2151" w:rsidRDefault="006118F1" w:rsidP="00BB2151">
      <w:pPr>
        <w:numPr>
          <w:ilvl w:val="0"/>
          <w:numId w:val="7"/>
        </w:numPr>
        <w:pBdr>
          <w:top w:val="nil"/>
          <w:left w:val="nil"/>
          <w:bottom w:val="nil"/>
          <w:right w:val="nil"/>
          <w:between w:val="nil"/>
        </w:pBdr>
        <w:tabs>
          <w:tab w:val="left" w:pos="432"/>
          <w:tab w:val="left" w:pos="1448"/>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 xml:space="preserve">Dismiss the position of member of the Board of Directors for Mr. Ngo Thanh Chung. </w:t>
      </w:r>
    </w:p>
    <w:p w14:paraId="55B3A5DE" w14:textId="13CC0D3C" w:rsidR="00A16884" w:rsidRPr="00BB2151" w:rsidRDefault="006118F1" w:rsidP="00BB2151">
      <w:pPr>
        <w:numPr>
          <w:ilvl w:val="0"/>
          <w:numId w:val="7"/>
        </w:numPr>
        <w:pBdr>
          <w:top w:val="nil"/>
          <w:left w:val="nil"/>
          <w:bottom w:val="nil"/>
          <w:right w:val="nil"/>
          <w:between w:val="nil"/>
        </w:pBdr>
        <w:tabs>
          <w:tab w:val="left" w:pos="432"/>
          <w:tab w:val="left" w:pos="1452"/>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Elect additional members to the Board of Directors for the term of 20212026</w:t>
      </w:r>
      <w:r w:rsidR="0003297A">
        <w:rPr>
          <w:rFonts w:ascii="Arial" w:hAnsi="Arial" w:cs="Arial"/>
          <w:color w:val="010000"/>
          <w:sz w:val="20"/>
          <w:szCs w:val="20"/>
        </w:rPr>
        <w:t>:</w:t>
      </w:r>
      <w:bookmarkStart w:id="0" w:name="_GoBack"/>
      <w:bookmarkEnd w:id="0"/>
      <w:r w:rsidRPr="00BB2151">
        <w:rPr>
          <w:rFonts w:ascii="Arial" w:hAnsi="Arial" w:cs="Arial"/>
          <w:color w:val="010000"/>
          <w:sz w:val="20"/>
          <w:szCs w:val="20"/>
        </w:rPr>
        <w:t xml:space="preserve"> 01 person</w:t>
      </w:r>
    </w:p>
    <w:p w14:paraId="67EF17A7" w14:textId="77777777" w:rsidR="00A16884" w:rsidRPr="00BB2151" w:rsidRDefault="006118F1" w:rsidP="00BB2151">
      <w:pPr>
        <w:numPr>
          <w:ilvl w:val="0"/>
          <w:numId w:val="1"/>
        </w:numPr>
        <w:pBdr>
          <w:top w:val="nil"/>
          <w:left w:val="nil"/>
          <w:bottom w:val="nil"/>
          <w:right w:val="nil"/>
          <w:between w:val="nil"/>
        </w:pBdr>
        <w:tabs>
          <w:tab w:val="left" w:pos="432"/>
          <w:tab w:val="left" w:pos="1484"/>
        </w:tabs>
        <w:spacing w:after="120" w:line="360" w:lineRule="auto"/>
        <w:ind w:left="0" w:firstLine="0"/>
        <w:jc w:val="both"/>
        <w:rPr>
          <w:rFonts w:ascii="Arial" w:eastAsia="Arial" w:hAnsi="Arial" w:cs="Arial"/>
          <w:color w:val="010000"/>
          <w:sz w:val="20"/>
          <w:szCs w:val="20"/>
        </w:rPr>
      </w:pPr>
      <w:bookmarkStart w:id="1" w:name="_heading=h.gjdgxs"/>
      <w:bookmarkEnd w:id="1"/>
      <w:r w:rsidRPr="00BB2151">
        <w:rPr>
          <w:rFonts w:ascii="Arial" w:hAnsi="Arial" w:cs="Arial"/>
          <w:color w:val="010000"/>
          <w:sz w:val="20"/>
          <w:szCs w:val="20"/>
        </w:rPr>
        <w:t>For the Supervisory Board:</w:t>
      </w:r>
    </w:p>
    <w:p w14:paraId="5A6B51FC" w14:textId="77777777" w:rsidR="00A16884" w:rsidRPr="00BB2151" w:rsidRDefault="006118F1" w:rsidP="00BB2151">
      <w:pPr>
        <w:numPr>
          <w:ilvl w:val="0"/>
          <w:numId w:val="7"/>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 xml:space="preserve">Dismiss the position of member of the Supervisory Board for Ms. Nguyen Hong Oanh. </w:t>
      </w:r>
    </w:p>
    <w:p w14:paraId="62351519" w14:textId="51430963" w:rsidR="00A16884" w:rsidRPr="00BB2151" w:rsidRDefault="006118F1" w:rsidP="00BB2151">
      <w:pPr>
        <w:numPr>
          <w:ilvl w:val="0"/>
          <w:numId w:val="7"/>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 xml:space="preserve">Elect additional members for the Supervisory Board for </w:t>
      </w:r>
      <w:r w:rsidR="0003297A">
        <w:rPr>
          <w:rFonts w:ascii="Arial" w:hAnsi="Arial" w:cs="Arial"/>
          <w:color w:val="010000"/>
          <w:sz w:val="20"/>
          <w:szCs w:val="20"/>
        </w:rPr>
        <w:t xml:space="preserve">the </w:t>
      </w:r>
      <w:r w:rsidRPr="00BB2151">
        <w:rPr>
          <w:rFonts w:ascii="Arial" w:hAnsi="Arial" w:cs="Arial"/>
          <w:color w:val="010000"/>
          <w:sz w:val="20"/>
          <w:szCs w:val="20"/>
        </w:rPr>
        <w:t>term 2021-2026. 01 person</w:t>
      </w:r>
    </w:p>
    <w:p w14:paraId="29775725"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Article 7: Approve the results of additional election of members of the Board of Directors and the Supervisory Board in the term of 2021-2026</w:t>
      </w:r>
    </w:p>
    <w:p w14:paraId="6256F1F8"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Member of the Board of Directors: Mr. Nguyen Trong Hieu</w:t>
      </w:r>
    </w:p>
    <w:p w14:paraId="3C8D9488"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Member of the Supervisory Board: Mr. Trinh Kien</w:t>
      </w:r>
    </w:p>
    <w:p w14:paraId="1E87EC4A"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Article 8: Terms of enforcement</w:t>
      </w:r>
    </w:p>
    <w:p w14:paraId="5F80A647"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This General Mandate was approved by the Annual General Meeting of Shareholders 2024 of the Company and took effect on April 14, 2024.</w:t>
      </w:r>
    </w:p>
    <w:p w14:paraId="6577D200" w14:textId="77777777" w:rsidR="00A16884" w:rsidRPr="00BB2151" w:rsidRDefault="006118F1" w:rsidP="00BB2151">
      <w:pPr>
        <w:pBdr>
          <w:top w:val="nil"/>
          <w:left w:val="nil"/>
          <w:bottom w:val="nil"/>
          <w:right w:val="nil"/>
          <w:between w:val="nil"/>
        </w:pBdr>
        <w:spacing w:after="120" w:line="360" w:lineRule="auto"/>
        <w:jc w:val="both"/>
        <w:rPr>
          <w:rFonts w:ascii="Arial" w:eastAsia="Arial" w:hAnsi="Arial" w:cs="Arial"/>
          <w:color w:val="010000"/>
          <w:sz w:val="20"/>
          <w:szCs w:val="20"/>
        </w:rPr>
      </w:pPr>
      <w:r w:rsidRPr="00BB2151">
        <w:rPr>
          <w:rFonts w:ascii="Arial" w:hAnsi="Arial" w:cs="Arial"/>
          <w:color w:val="010000"/>
          <w:sz w:val="20"/>
          <w:szCs w:val="20"/>
        </w:rPr>
        <w:t>The members of the Board of Directors, Supervisory Board and shareholders are responsible for implementing this General Mandate and organizing the implementation in accordance with their respective functions in compliance with the provisions of the law and the Charter on organization and operation of Bac Giang Clean Water Joint Stock Company.</w:t>
      </w:r>
    </w:p>
    <w:sectPr w:rsidR="00A16884" w:rsidRPr="00BB2151" w:rsidSect="006118F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72D9"/>
    <w:multiLevelType w:val="multilevel"/>
    <w:tmpl w:val="9042DE88"/>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20E2BAB"/>
    <w:multiLevelType w:val="multilevel"/>
    <w:tmpl w:val="CDF0032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9667BC"/>
    <w:multiLevelType w:val="multilevel"/>
    <w:tmpl w:val="B546E2B2"/>
    <w:lvl w:ilvl="0">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2805AF8"/>
    <w:multiLevelType w:val="multilevel"/>
    <w:tmpl w:val="5E7891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F958EE"/>
    <w:multiLevelType w:val="multilevel"/>
    <w:tmpl w:val="D12C2B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968619F"/>
    <w:multiLevelType w:val="multilevel"/>
    <w:tmpl w:val="BFBE7A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89929D6"/>
    <w:multiLevelType w:val="multilevel"/>
    <w:tmpl w:val="09541C9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406579D"/>
    <w:multiLevelType w:val="multilevel"/>
    <w:tmpl w:val="E578D0F0"/>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84"/>
    <w:rsid w:val="0003069C"/>
    <w:rsid w:val="0003297A"/>
    <w:rsid w:val="0013347C"/>
    <w:rsid w:val="00524DEA"/>
    <w:rsid w:val="006118F1"/>
    <w:rsid w:val="007E4F61"/>
    <w:rsid w:val="00880F9E"/>
    <w:rsid w:val="00A16884"/>
    <w:rsid w:val="00BB215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766FF"/>
  <w15:docId w15:val="{C4F69038-99FD-4D07-9DFC-6A80642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6"/>
      <w:szCs w:val="26"/>
    </w:rPr>
  </w:style>
  <w:style w:type="paragraph" w:customStyle="1" w:styleId="Other0">
    <w:name w:val="Other"/>
    <w:basedOn w:val="Normal"/>
    <w:link w:val="Other"/>
    <w:pPr>
      <w:spacing w:line="283"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xn0hxHZ7J2BQfw/vZa3M9CvLzQ==">CgMxLjAyCGguZ2pkZ3hzOAByITFKVUxzT29HNmZaUVFSYkFmUjRVZjh3VHU1UW5RVDl5ZA==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3834</Characters>
  <Application>Microsoft Office Word</Application>
  <DocSecurity>0</DocSecurity>
  <Lines>106</Lines>
  <Paragraphs>108</Paragraphs>
  <ScaleCrop>false</ScaleCrop>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2024-04-17T06:45:00Z</dcterms:created>
  <dcterms:modified xsi:type="dcterms:W3CDTF">2024-04-22T11:03:00Z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f0134b62e2dc405e0617ea30c613ca489c36306581ca1575d96e90864cc160e1</vt:lpwstr>
  </property>
</Properties>
</file>