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417038" w:rsidR="00E80F71" w:rsidRPr="00095BCC" w:rsidRDefault="00276BC4" w:rsidP="00276BC4">
      <w:pPr>
        <w:pBdr>
          <w:top w:val="nil"/>
          <w:left w:val="nil"/>
          <w:bottom w:val="nil"/>
          <w:right w:val="nil"/>
          <w:between w:val="nil"/>
        </w:pBdr>
        <w:tabs>
          <w:tab w:val="left" w:pos="9235"/>
        </w:tabs>
        <w:spacing w:after="120" w:line="360" w:lineRule="auto"/>
        <w:rPr>
          <w:rFonts w:ascii="Arial" w:eastAsia="Arial" w:hAnsi="Arial" w:cs="Arial"/>
          <w:b/>
          <w:color w:val="010000"/>
          <w:sz w:val="20"/>
          <w:szCs w:val="20"/>
        </w:rPr>
      </w:pPr>
      <w:r w:rsidRPr="00095BCC">
        <w:rPr>
          <w:rFonts w:ascii="Arial" w:hAnsi="Arial" w:cs="Arial"/>
          <w:b/>
          <w:color w:val="010000"/>
          <w:sz w:val="20"/>
        </w:rPr>
        <w:t xml:space="preserve">CEN: Explanation of </w:t>
      </w:r>
      <w:r w:rsidR="00481BAF" w:rsidRPr="00095BCC">
        <w:rPr>
          <w:rFonts w:ascii="Arial" w:hAnsi="Arial" w:cs="Arial"/>
          <w:b/>
          <w:color w:val="010000"/>
          <w:sz w:val="20"/>
        </w:rPr>
        <w:t>shares</w:t>
      </w:r>
      <w:r w:rsidRPr="00095BCC">
        <w:rPr>
          <w:rFonts w:ascii="Arial" w:hAnsi="Arial" w:cs="Arial"/>
          <w:b/>
          <w:color w:val="010000"/>
          <w:sz w:val="20"/>
        </w:rPr>
        <w:t xml:space="preserve"> being put under trading restriction</w:t>
      </w:r>
    </w:p>
    <w:p w14:paraId="00000002" w14:textId="0DFE23EC" w:rsidR="00E80F71" w:rsidRPr="00095BCC" w:rsidRDefault="00276BC4" w:rsidP="00276BC4">
      <w:pPr>
        <w:pBdr>
          <w:top w:val="nil"/>
          <w:left w:val="nil"/>
          <w:bottom w:val="nil"/>
          <w:right w:val="nil"/>
          <w:between w:val="nil"/>
        </w:pBdr>
        <w:tabs>
          <w:tab w:val="left" w:pos="9235"/>
        </w:tabs>
        <w:spacing w:after="120" w:line="360" w:lineRule="auto"/>
        <w:rPr>
          <w:rFonts w:ascii="Arial" w:eastAsia="Arial" w:hAnsi="Arial" w:cs="Arial"/>
          <w:color w:val="010000"/>
          <w:sz w:val="20"/>
          <w:szCs w:val="20"/>
        </w:rPr>
      </w:pPr>
      <w:r w:rsidRPr="00095BCC">
        <w:rPr>
          <w:rFonts w:ascii="Arial" w:hAnsi="Arial" w:cs="Arial"/>
          <w:color w:val="010000"/>
          <w:sz w:val="20"/>
        </w:rPr>
        <w:t xml:space="preserve">On April 17, 2024, CENCON Viet Nam Joint Stock Company announced </w:t>
      </w:r>
      <w:r w:rsidR="00481BAF" w:rsidRPr="00095BCC">
        <w:rPr>
          <w:rFonts w:ascii="Arial" w:hAnsi="Arial" w:cs="Arial"/>
          <w:color w:val="010000"/>
          <w:sz w:val="20"/>
        </w:rPr>
        <w:t>Official Dispatch</w:t>
      </w:r>
      <w:r w:rsidRPr="00095BCC">
        <w:rPr>
          <w:rFonts w:ascii="Arial" w:hAnsi="Arial" w:cs="Arial"/>
          <w:color w:val="010000"/>
          <w:sz w:val="20"/>
        </w:rPr>
        <w:t xml:space="preserve"> No. 1704/2024/CV-CEN to explain the reasons and provide remedy plan for </w:t>
      </w:r>
      <w:r w:rsidR="00481BAF" w:rsidRPr="00095BCC">
        <w:rPr>
          <w:rFonts w:ascii="Arial" w:hAnsi="Arial" w:cs="Arial"/>
          <w:color w:val="010000"/>
          <w:sz w:val="20"/>
        </w:rPr>
        <w:t>shares</w:t>
      </w:r>
      <w:r w:rsidRPr="00095BCC">
        <w:rPr>
          <w:rFonts w:ascii="Arial" w:hAnsi="Arial" w:cs="Arial"/>
          <w:color w:val="010000"/>
          <w:sz w:val="20"/>
        </w:rPr>
        <w:t xml:space="preserve"> being put under trading restriction as follows:</w:t>
      </w:r>
    </w:p>
    <w:p w14:paraId="00000003" w14:textId="392C5C03" w:rsidR="00E80F71" w:rsidRPr="00095BCC" w:rsidRDefault="00276BC4" w:rsidP="00276BC4">
      <w:pPr>
        <w:numPr>
          <w:ilvl w:val="0"/>
          <w:numId w:val="1"/>
        </w:numPr>
        <w:pBdr>
          <w:top w:val="nil"/>
          <w:left w:val="nil"/>
          <w:bottom w:val="nil"/>
          <w:right w:val="nil"/>
          <w:between w:val="nil"/>
        </w:pBdr>
        <w:tabs>
          <w:tab w:val="left" w:pos="432"/>
          <w:tab w:val="left" w:pos="1320"/>
        </w:tabs>
        <w:spacing w:after="120" w:line="360" w:lineRule="auto"/>
        <w:rPr>
          <w:rFonts w:ascii="Arial" w:eastAsia="Arial" w:hAnsi="Arial" w:cs="Arial"/>
          <w:color w:val="010000"/>
          <w:sz w:val="20"/>
          <w:szCs w:val="20"/>
        </w:rPr>
      </w:pPr>
      <w:bookmarkStart w:id="0" w:name="_heading=h.gjdgxs"/>
      <w:bookmarkEnd w:id="0"/>
      <w:r w:rsidRPr="00095BCC">
        <w:rPr>
          <w:rFonts w:ascii="Arial" w:hAnsi="Arial" w:cs="Arial"/>
          <w:color w:val="010000"/>
          <w:sz w:val="20"/>
        </w:rPr>
        <w:t xml:space="preserve">The reason </w:t>
      </w:r>
      <w:r w:rsidR="00095BCC" w:rsidRPr="00095BCC">
        <w:rPr>
          <w:rFonts w:ascii="Arial" w:hAnsi="Arial" w:cs="Arial"/>
          <w:color w:val="010000"/>
          <w:sz w:val="20"/>
        </w:rPr>
        <w:t xml:space="preserve">for </w:t>
      </w:r>
      <w:r w:rsidRPr="00095BCC">
        <w:rPr>
          <w:rFonts w:ascii="Arial" w:hAnsi="Arial" w:cs="Arial"/>
          <w:color w:val="010000"/>
          <w:sz w:val="20"/>
        </w:rPr>
        <w:t>the audi</w:t>
      </w:r>
      <w:r w:rsidR="00481BAF" w:rsidRPr="00095BCC">
        <w:rPr>
          <w:rFonts w:ascii="Arial" w:hAnsi="Arial" w:cs="Arial"/>
          <w:color w:val="010000"/>
          <w:sz w:val="20"/>
        </w:rPr>
        <w:t>t company</w:t>
      </w:r>
      <w:r w:rsidR="00095BCC" w:rsidRPr="00095BCC">
        <w:rPr>
          <w:rFonts w:ascii="Arial" w:hAnsi="Arial" w:cs="Arial"/>
          <w:color w:val="010000"/>
          <w:sz w:val="20"/>
        </w:rPr>
        <w:t>’s disclaimer of opinion</w:t>
      </w:r>
      <w:r w:rsidRPr="00095BCC">
        <w:rPr>
          <w:rFonts w:ascii="Arial" w:hAnsi="Arial" w:cs="Arial"/>
          <w:color w:val="010000"/>
          <w:sz w:val="20"/>
        </w:rPr>
        <w:t xml:space="preserve"> on the </w:t>
      </w:r>
      <w:r w:rsidR="00481BAF" w:rsidRPr="00095BCC">
        <w:rPr>
          <w:rFonts w:ascii="Arial" w:hAnsi="Arial" w:cs="Arial"/>
          <w:color w:val="010000"/>
          <w:sz w:val="20"/>
        </w:rPr>
        <w:t>Financial Statements</w:t>
      </w:r>
      <w:r w:rsidRPr="00095BCC">
        <w:rPr>
          <w:rFonts w:ascii="Arial" w:hAnsi="Arial" w:cs="Arial"/>
          <w:color w:val="010000"/>
          <w:sz w:val="20"/>
        </w:rPr>
        <w:t xml:space="preserve"> 2023 is as follows:</w:t>
      </w:r>
    </w:p>
    <w:p w14:paraId="00000004" w14:textId="214BFD27" w:rsidR="00E80F71" w:rsidRPr="00095BCC" w:rsidRDefault="00276BC4" w:rsidP="00276BC4">
      <w:pPr>
        <w:numPr>
          <w:ilvl w:val="0"/>
          <w:numId w:val="2"/>
        </w:numPr>
        <w:pBdr>
          <w:top w:val="nil"/>
          <w:left w:val="nil"/>
          <w:bottom w:val="nil"/>
          <w:right w:val="nil"/>
          <w:between w:val="nil"/>
        </w:pBdr>
        <w:tabs>
          <w:tab w:val="left" w:pos="432"/>
          <w:tab w:val="left" w:pos="1259"/>
        </w:tabs>
        <w:spacing w:after="120" w:line="360" w:lineRule="auto"/>
        <w:rPr>
          <w:rFonts w:ascii="Arial" w:eastAsia="Arial" w:hAnsi="Arial" w:cs="Arial"/>
          <w:color w:val="010000"/>
          <w:sz w:val="20"/>
          <w:szCs w:val="20"/>
        </w:rPr>
      </w:pPr>
      <w:r w:rsidRPr="00095BCC">
        <w:rPr>
          <w:rFonts w:ascii="Arial" w:hAnsi="Arial" w:cs="Arial"/>
          <w:color w:val="010000"/>
          <w:sz w:val="20"/>
        </w:rPr>
        <w:t>Revenue from sales and services provision</w:t>
      </w:r>
      <w:r w:rsidR="00095BCC" w:rsidRPr="00095BCC">
        <w:rPr>
          <w:rFonts w:ascii="Arial" w:hAnsi="Arial" w:cs="Arial"/>
          <w:color w:val="010000"/>
          <w:sz w:val="20"/>
        </w:rPr>
        <w:t>:</w:t>
      </w:r>
      <w:r w:rsidRPr="00095BCC">
        <w:rPr>
          <w:rFonts w:ascii="Arial" w:hAnsi="Arial" w:cs="Arial"/>
          <w:color w:val="010000"/>
          <w:sz w:val="20"/>
        </w:rPr>
        <w:t xml:space="preserve"> The gold sales transactions of the Company are cash transactions. The Audit Company cannot evaluate the reasonableness of this transaction and determine whether it is necessary to adjust the data on the </w:t>
      </w:r>
      <w:r w:rsidR="00481BAF" w:rsidRPr="00095BCC">
        <w:rPr>
          <w:rFonts w:ascii="Arial" w:hAnsi="Arial" w:cs="Arial"/>
          <w:color w:val="010000"/>
          <w:sz w:val="20"/>
        </w:rPr>
        <w:t>Financial Statements</w:t>
      </w:r>
      <w:r w:rsidRPr="00095BCC">
        <w:rPr>
          <w:rFonts w:ascii="Arial" w:hAnsi="Arial" w:cs="Arial"/>
          <w:color w:val="010000"/>
          <w:sz w:val="20"/>
        </w:rPr>
        <w:t>.</w:t>
      </w:r>
    </w:p>
    <w:p w14:paraId="00000005" w14:textId="55A9A16A" w:rsidR="00E80F71" w:rsidRPr="00095BCC" w:rsidRDefault="00276BC4" w:rsidP="00276BC4">
      <w:pPr>
        <w:numPr>
          <w:ilvl w:val="0"/>
          <w:numId w:val="2"/>
        </w:numPr>
        <w:pBdr>
          <w:top w:val="nil"/>
          <w:left w:val="nil"/>
          <w:bottom w:val="nil"/>
          <w:right w:val="nil"/>
          <w:between w:val="nil"/>
        </w:pBdr>
        <w:tabs>
          <w:tab w:val="left" w:pos="432"/>
          <w:tab w:val="left" w:pos="1259"/>
        </w:tabs>
        <w:spacing w:after="120" w:line="360" w:lineRule="auto"/>
        <w:rPr>
          <w:rFonts w:ascii="Arial" w:eastAsia="Arial" w:hAnsi="Arial" w:cs="Arial"/>
          <w:color w:val="010000"/>
          <w:sz w:val="20"/>
          <w:szCs w:val="20"/>
        </w:rPr>
      </w:pPr>
      <w:r w:rsidRPr="00095BCC">
        <w:rPr>
          <w:rFonts w:ascii="Arial" w:hAnsi="Arial" w:cs="Arial"/>
          <w:color w:val="010000"/>
          <w:sz w:val="20"/>
        </w:rPr>
        <w:t xml:space="preserve">The Company has received the transfer of the Lan Huy Hoang </w:t>
      </w:r>
      <w:r w:rsidR="00095BCC" w:rsidRPr="00095BCC">
        <w:rPr>
          <w:rFonts w:ascii="Arial" w:hAnsi="Arial" w:cs="Arial"/>
          <w:color w:val="010000"/>
          <w:sz w:val="20"/>
        </w:rPr>
        <w:t>Hotel</w:t>
      </w:r>
      <w:r w:rsidRPr="00095BCC">
        <w:rPr>
          <w:rFonts w:ascii="Arial" w:hAnsi="Arial" w:cs="Arial"/>
          <w:color w:val="010000"/>
          <w:sz w:val="20"/>
        </w:rPr>
        <w:t xml:space="preserve"> and </w:t>
      </w:r>
      <w:r w:rsidR="00095BCC" w:rsidRPr="00095BCC">
        <w:rPr>
          <w:rFonts w:ascii="Arial" w:hAnsi="Arial" w:cs="Arial"/>
          <w:color w:val="010000"/>
          <w:sz w:val="20"/>
        </w:rPr>
        <w:t xml:space="preserve">Restaurant </w:t>
      </w:r>
      <w:r w:rsidRPr="00095BCC">
        <w:rPr>
          <w:rFonts w:ascii="Arial" w:hAnsi="Arial" w:cs="Arial"/>
          <w:color w:val="010000"/>
          <w:sz w:val="20"/>
        </w:rPr>
        <w:t xml:space="preserve">Tourist Area Project since September 16, 2021, however, by the time of preparing the </w:t>
      </w:r>
      <w:r w:rsidR="00481BAF" w:rsidRPr="00095BCC">
        <w:rPr>
          <w:rFonts w:ascii="Arial" w:hAnsi="Arial" w:cs="Arial"/>
          <w:color w:val="010000"/>
          <w:sz w:val="20"/>
        </w:rPr>
        <w:t>Financial Statements</w:t>
      </w:r>
      <w:r w:rsidRPr="00095BCC">
        <w:rPr>
          <w:rFonts w:ascii="Arial" w:hAnsi="Arial" w:cs="Arial"/>
          <w:color w:val="010000"/>
          <w:sz w:val="20"/>
        </w:rPr>
        <w:t xml:space="preserve"> 2023, the unit has not yet completed the procedures to transfer ownership from Lao Cai Coastal Company Limited to CENCON Viet Nam Joint Stock Company. Using existing dossiers, the Audit Company cannot determine the impact of the above issue on the </w:t>
      </w:r>
      <w:r w:rsidR="00481BAF" w:rsidRPr="00095BCC">
        <w:rPr>
          <w:rFonts w:ascii="Arial" w:hAnsi="Arial" w:cs="Arial"/>
          <w:color w:val="010000"/>
          <w:sz w:val="20"/>
        </w:rPr>
        <w:t>Financial Statements</w:t>
      </w:r>
      <w:r w:rsidRPr="00095BCC">
        <w:rPr>
          <w:rFonts w:ascii="Arial" w:hAnsi="Arial" w:cs="Arial"/>
          <w:color w:val="010000"/>
          <w:sz w:val="20"/>
        </w:rPr>
        <w:t>.</w:t>
      </w:r>
    </w:p>
    <w:p w14:paraId="00000006" w14:textId="4030D7C9" w:rsidR="00E80F71" w:rsidRPr="00095BCC" w:rsidRDefault="00276BC4" w:rsidP="00276BC4">
      <w:pPr>
        <w:numPr>
          <w:ilvl w:val="0"/>
          <w:numId w:val="2"/>
        </w:numPr>
        <w:pBdr>
          <w:top w:val="nil"/>
          <w:left w:val="nil"/>
          <w:bottom w:val="nil"/>
          <w:right w:val="nil"/>
          <w:between w:val="nil"/>
        </w:pBdr>
        <w:tabs>
          <w:tab w:val="left" w:pos="432"/>
          <w:tab w:val="left" w:pos="1259"/>
        </w:tabs>
        <w:spacing w:after="120" w:line="360" w:lineRule="auto"/>
        <w:rPr>
          <w:rFonts w:ascii="Arial" w:eastAsia="Arial" w:hAnsi="Arial" w:cs="Arial"/>
          <w:color w:val="010000"/>
          <w:sz w:val="20"/>
          <w:szCs w:val="20"/>
        </w:rPr>
      </w:pPr>
      <w:r w:rsidRPr="00095BCC">
        <w:rPr>
          <w:rFonts w:ascii="Arial" w:hAnsi="Arial" w:cs="Arial"/>
          <w:color w:val="010000"/>
          <w:sz w:val="20"/>
        </w:rPr>
        <w:t xml:space="preserve">The Company has an investment in Cenon Electric Car Company Limited </w:t>
      </w:r>
      <w:r w:rsidR="00095BCC" w:rsidRPr="00095BCC">
        <w:rPr>
          <w:rFonts w:ascii="Arial" w:hAnsi="Arial" w:cs="Arial"/>
          <w:color w:val="010000"/>
          <w:sz w:val="20"/>
        </w:rPr>
        <w:t xml:space="preserve">(now </w:t>
      </w:r>
      <w:r w:rsidR="00095BCC" w:rsidRPr="00095BCC">
        <w:rPr>
          <w:rFonts w:ascii="Arial" w:hAnsi="Arial" w:cs="Arial"/>
          <w:color w:val="010000"/>
          <w:sz w:val="20"/>
        </w:rPr>
        <w:t>Truong Thanh Auto Investment Joint Stock Company</w:t>
      </w:r>
      <w:r w:rsidR="00095BCC" w:rsidRPr="00095BCC">
        <w:rPr>
          <w:rFonts w:ascii="Arial" w:hAnsi="Arial" w:cs="Arial"/>
          <w:color w:val="010000"/>
          <w:sz w:val="20"/>
        </w:rPr>
        <w:t xml:space="preserve">) </w:t>
      </w:r>
      <w:r w:rsidRPr="00095BCC">
        <w:rPr>
          <w:rFonts w:ascii="Arial" w:hAnsi="Arial" w:cs="Arial"/>
          <w:color w:val="010000"/>
          <w:sz w:val="20"/>
        </w:rPr>
        <w:t>with the amount of VND 50,400,000,000</w:t>
      </w:r>
      <w:r w:rsidR="00095BCC" w:rsidRPr="00095BCC">
        <w:rPr>
          <w:rFonts w:ascii="Arial" w:hAnsi="Arial" w:cs="Arial"/>
          <w:color w:val="010000"/>
          <w:sz w:val="20"/>
        </w:rPr>
        <w:t>.</w:t>
      </w:r>
      <w:r w:rsidRPr="00095BCC">
        <w:rPr>
          <w:rFonts w:ascii="Arial" w:hAnsi="Arial" w:cs="Arial"/>
          <w:color w:val="010000"/>
          <w:sz w:val="20"/>
        </w:rPr>
        <w:t xml:space="preserve"> The Company has based on the data from the </w:t>
      </w:r>
      <w:r w:rsidR="00481BAF" w:rsidRPr="00095BCC">
        <w:rPr>
          <w:rFonts w:ascii="Arial" w:hAnsi="Arial" w:cs="Arial"/>
          <w:color w:val="010000"/>
          <w:sz w:val="20"/>
        </w:rPr>
        <w:t>Financial Statements</w:t>
      </w:r>
      <w:r w:rsidRPr="00095BCC">
        <w:rPr>
          <w:rFonts w:ascii="Arial" w:hAnsi="Arial" w:cs="Arial"/>
          <w:color w:val="010000"/>
          <w:sz w:val="20"/>
        </w:rPr>
        <w:t xml:space="preserve"> 2023 prepared by Truong Thanh Auto Investment Joint Stock Company, which have not been audited, as a basis for determining the provision for reduction in investment prices at the time of December 31, 2023. Using existing dossiers, the Audit Company cannot determine the reliability of </w:t>
      </w:r>
      <w:r w:rsidR="00095BCC" w:rsidRPr="00095BCC">
        <w:rPr>
          <w:rFonts w:ascii="Arial" w:hAnsi="Arial" w:cs="Arial"/>
          <w:color w:val="010000"/>
          <w:sz w:val="20"/>
        </w:rPr>
        <w:t>these</w:t>
      </w:r>
      <w:r w:rsidRPr="00095BCC">
        <w:rPr>
          <w:rFonts w:ascii="Arial" w:hAnsi="Arial" w:cs="Arial"/>
          <w:color w:val="010000"/>
          <w:sz w:val="20"/>
        </w:rPr>
        <w:t xml:space="preserve"> </w:t>
      </w:r>
      <w:r w:rsidR="00481BAF" w:rsidRPr="00095BCC">
        <w:rPr>
          <w:rFonts w:ascii="Arial" w:hAnsi="Arial" w:cs="Arial"/>
          <w:color w:val="010000"/>
          <w:sz w:val="20"/>
        </w:rPr>
        <w:t>Financial Statements</w:t>
      </w:r>
      <w:r w:rsidRPr="00095BCC">
        <w:rPr>
          <w:rFonts w:ascii="Arial" w:hAnsi="Arial" w:cs="Arial"/>
          <w:color w:val="010000"/>
          <w:sz w:val="20"/>
        </w:rPr>
        <w:t>.</w:t>
      </w:r>
    </w:p>
    <w:p w14:paraId="00000007" w14:textId="77777777" w:rsidR="00E80F71" w:rsidRPr="00095BCC" w:rsidRDefault="00276BC4" w:rsidP="00276BC4">
      <w:pPr>
        <w:numPr>
          <w:ilvl w:val="0"/>
          <w:numId w:val="1"/>
        </w:numPr>
        <w:pBdr>
          <w:top w:val="nil"/>
          <w:left w:val="nil"/>
          <w:bottom w:val="nil"/>
          <w:right w:val="nil"/>
          <w:between w:val="nil"/>
        </w:pBdr>
        <w:tabs>
          <w:tab w:val="left" w:pos="432"/>
          <w:tab w:val="left" w:pos="1317"/>
        </w:tabs>
        <w:spacing w:after="120" w:line="360" w:lineRule="auto"/>
        <w:rPr>
          <w:rFonts w:ascii="Arial" w:eastAsia="Arial" w:hAnsi="Arial" w:cs="Arial"/>
          <w:color w:val="010000"/>
          <w:sz w:val="20"/>
          <w:szCs w:val="20"/>
        </w:rPr>
      </w:pPr>
      <w:r w:rsidRPr="00095BCC">
        <w:rPr>
          <w:rFonts w:ascii="Arial" w:hAnsi="Arial" w:cs="Arial"/>
          <w:color w:val="010000"/>
          <w:sz w:val="20"/>
        </w:rPr>
        <w:t>Remedy plan:</w:t>
      </w:r>
    </w:p>
    <w:p w14:paraId="00000008" w14:textId="467647E1" w:rsidR="00E80F71" w:rsidRPr="00095BCC" w:rsidRDefault="00276BC4" w:rsidP="00276BC4">
      <w:pPr>
        <w:numPr>
          <w:ilvl w:val="0"/>
          <w:numId w:val="2"/>
        </w:numPr>
        <w:pBdr>
          <w:top w:val="nil"/>
          <w:left w:val="nil"/>
          <w:bottom w:val="nil"/>
          <w:right w:val="nil"/>
          <w:between w:val="nil"/>
        </w:pBdr>
        <w:tabs>
          <w:tab w:val="left" w:pos="432"/>
          <w:tab w:val="left" w:pos="1259"/>
        </w:tabs>
        <w:spacing w:after="120" w:line="360" w:lineRule="auto"/>
        <w:rPr>
          <w:rFonts w:ascii="Arial" w:eastAsia="Arial" w:hAnsi="Arial" w:cs="Arial"/>
          <w:color w:val="010000"/>
          <w:sz w:val="20"/>
          <w:szCs w:val="20"/>
        </w:rPr>
      </w:pPr>
      <w:r w:rsidRPr="00095BCC">
        <w:rPr>
          <w:rFonts w:ascii="Arial" w:hAnsi="Arial" w:cs="Arial"/>
          <w:color w:val="010000"/>
          <w:sz w:val="20"/>
        </w:rPr>
        <w:t>For gold sales transactions: Our company is a gold jewelry business</w:t>
      </w:r>
      <w:r w:rsidR="00095BCC" w:rsidRPr="00095BCC">
        <w:rPr>
          <w:rFonts w:ascii="Arial" w:hAnsi="Arial" w:cs="Arial"/>
          <w:color w:val="010000"/>
          <w:sz w:val="20"/>
        </w:rPr>
        <w:t xml:space="preserve"> (not permitted to process and trade gold bars)</w:t>
      </w:r>
      <w:r w:rsidRPr="00095BCC">
        <w:rPr>
          <w:rFonts w:ascii="Arial" w:hAnsi="Arial" w:cs="Arial"/>
          <w:color w:val="010000"/>
          <w:sz w:val="20"/>
        </w:rPr>
        <w:t xml:space="preserve">. Because gold buying and selling is a specific business item, our customers do not want to transfer money and 100% of the customers purchase in cash. Therefore, in the coming time, we will research, evaluate, and provide solutions to overcome this situation. </w:t>
      </w:r>
    </w:p>
    <w:p w14:paraId="00000009" w14:textId="0037E433" w:rsidR="00E80F71" w:rsidRPr="00095BCC" w:rsidRDefault="00276BC4" w:rsidP="00276BC4">
      <w:pPr>
        <w:numPr>
          <w:ilvl w:val="0"/>
          <w:numId w:val="2"/>
        </w:numPr>
        <w:pBdr>
          <w:top w:val="nil"/>
          <w:left w:val="nil"/>
          <w:bottom w:val="nil"/>
          <w:right w:val="nil"/>
          <w:between w:val="nil"/>
        </w:pBdr>
        <w:tabs>
          <w:tab w:val="left" w:pos="432"/>
          <w:tab w:val="left" w:pos="1348"/>
        </w:tabs>
        <w:spacing w:after="120" w:line="360" w:lineRule="auto"/>
        <w:rPr>
          <w:rFonts w:ascii="Arial" w:eastAsia="Arial" w:hAnsi="Arial" w:cs="Arial"/>
          <w:color w:val="010000"/>
          <w:sz w:val="20"/>
          <w:szCs w:val="20"/>
        </w:rPr>
      </w:pPr>
      <w:r w:rsidRPr="00095BCC">
        <w:rPr>
          <w:rFonts w:ascii="Arial" w:hAnsi="Arial" w:cs="Arial"/>
          <w:color w:val="010000"/>
          <w:sz w:val="20"/>
        </w:rPr>
        <w:t xml:space="preserve">For the transfer of </w:t>
      </w:r>
      <w:r w:rsidR="00095BCC" w:rsidRPr="00095BCC">
        <w:rPr>
          <w:rFonts w:ascii="Arial" w:hAnsi="Arial" w:cs="Arial"/>
          <w:color w:val="010000"/>
          <w:sz w:val="20"/>
        </w:rPr>
        <w:t>Lan Huy Hoang Hotel and Restaurant Tourist Area Project</w:t>
      </w:r>
      <w:r w:rsidR="00095BCC" w:rsidRPr="00095BCC">
        <w:rPr>
          <w:rFonts w:ascii="Arial" w:hAnsi="Arial" w:cs="Arial"/>
          <w:color w:val="010000"/>
          <w:sz w:val="20"/>
        </w:rPr>
        <w:t>:</w:t>
      </w:r>
      <w:r w:rsidRPr="00095BCC">
        <w:rPr>
          <w:rFonts w:ascii="Arial" w:hAnsi="Arial" w:cs="Arial"/>
          <w:color w:val="010000"/>
          <w:sz w:val="20"/>
        </w:rPr>
        <w:t xml:space="preserve"> Currently, we are also coordinating with Lao Cai Coastal Company Limited, the Management Board of Economic Zones of Lao Cai Province to complete the project transfer procedures as soon as possible in the near future, we will calculate, develop plans, and coordinate with relevant parties to complete the project transfer.</w:t>
      </w:r>
    </w:p>
    <w:p w14:paraId="0000000A" w14:textId="46610C5B" w:rsidR="00E80F71" w:rsidRPr="00095BCC" w:rsidRDefault="00276BC4" w:rsidP="00276BC4">
      <w:pPr>
        <w:numPr>
          <w:ilvl w:val="0"/>
          <w:numId w:val="2"/>
        </w:numPr>
        <w:pBdr>
          <w:top w:val="nil"/>
          <w:left w:val="nil"/>
          <w:bottom w:val="nil"/>
          <w:right w:val="nil"/>
          <w:between w:val="nil"/>
        </w:pBdr>
        <w:tabs>
          <w:tab w:val="left" w:pos="432"/>
          <w:tab w:val="left" w:pos="1348"/>
        </w:tabs>
        <w:spacing w:after="120" w:line="360" w:lineRule="auto"/>
        <w:rPr>
          <w:rFonts w:ascii="Arial" w:eastAsia="Arial" w:hAnsi="Arial" w:cs="Arial"/>
          <w:color w:val="010000"/>
          <w:sz w:val="20"/>
          <w:szCs w:val="20"/>
        </w:rPr>
      </w:pPr>
      <w:r w:rsidRPr="00095BCC">
        <w:rPr>
          <w:rFonts w:ascii="Arial" w:hAnsi="Arial" w:cs="Arial"/>
          <w:color w:val="010000"/>
          <w:sz w:val="20"/>
        </w:rPr>
        <w:t xml:space="preserve">For capital contribution at Truong Thanh Auto Investment Joint Stock Company: Because Truong Thanh Auto Investment Joint Stock Company was newly established </w:t>
      </w:r>
      <w:r w:rsidR="00095BCC" w:rsidRPr="00095BCC">
        <w:rPr>
          <w:rFonts w:ascii="Arial" w:hAnsi="Arial" w:cs="Arial"/>
          <w:color w:val="010000"/>
          <w:sz w:val="20"/>
        </w:rPr>
        <w:t xml:space="preserve">on </w:t>
      </w:r>
      <w:r w:rsidRPr="00095BCC">
        <w:rPr>
          <w:rFonts w:ascii="Arial" w:hAnsi="Arial" w:cs="Arial"/>
          <w:color w:val="010000"/>
          <w:sz w:val="20"/>
        </w:rPr>
        <w:t xml:space="preserve">September 2023 and was mainly focused on projects, besides, the accounting staff was </w:t>
      </w:r>
      <w:r w:rsidR="00095BCC" w:rsidRPr="00095BCC">
        <w:rPr>
          <w:rFonts w:ascii="Arial" w:hAnsi="Arial" w:cs="Arial"/>
          <w:color w:val="010000"/>
          <w:sz w:val="20"/>
        </w:rPr>
        <w:t xml:space="preserve">insufficient </w:t>
      </w:r>
      <w:r w:rsidRPr="00095BCC">
        <w:rPr>
          <w:rFonts w:ascii="Arial" w:hAnsi="Arial" w:cs="Arial"/>
          <w:color w:val="010000"/>
          <w:sz w:val="20"/>
        </w:rPr>
        <w:t xml:space="preserve">and could not promptly submit the </w:t>
      </w:r>
      <w:r w:rsidR="00481BAF" w:rsidRPr="00095BCC">
        <w:rPr>
          <w:rFonts w:ascii="Arial" w:hAnsi="Arial" w:cs="Arial"/>
          <w:color w:val="010000"/>
          <w:sz w:val="20"/>
        </w:rPr>
        <w:t>audit</w:t>
      </w:r>
      <w:r w:rsidR="00095BCC" w:rsidRPr="00095BCC">
        <w:rPr>
          <w:rFonts w:ascii="Arial" w:hAnsi="Arial" w:cs="Arial"/>
          <w:color w:val="010000"/>
          <w:sz w:val="20"/>
        </w:rPr>
        <w:t>ed statements</w:t>
      </w:r>
      <w:r w:rsidRPr="00095BCC">
        <w:rPr>
          <w:rFonts w:ascii="Arial" w:hAnsi="Arial" w:cs="Arial"/>
          <w:color w:val="010000"/>
          <w:sz w:val="20"/>
        </w:rPr>
        <w:t xml:space="preserve"> as required. We have worked on the audited content with Truong Thanh Auto Investment Joint Stock Company and will have it </w:t>
      </w:r>
      <w:r w:rsidR="00095BCC">
        <w:rPr>
          <w:rFonts w:ascii="Arial" w:hAnsi="Arial" w:cs="Arial"/>
          <w:color w:val="010000"/>
          <w:sz w:val="20"/>
        </w:rPr>
        <w:t xml:space="preserve">completed </w:t>
      </w:r>
      <w:r w:rsidRPr="00095BCC">
        <w:rPr>
          <w:rFonts w:ascii="Arial" w:hAnsi="Arial" w:cs="Arial"/>
          <w:color w:val="010000"/>
          <w:sz w:val="20"/>
        </w:rPr>
        <w:t xml:space="preserve">in the near future. </w:t>
      </w:r>
    </w:p>
    <w:sectPr w:rsidR="00E80F71" w:rsidRPr="00095BCC" w:rsidSect="00276B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B3DF2"/>
    <w:multiLevelType w:val="multilevel"/>
    <w:tmpl w:val="700877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F692260"/>
    <w:multiLevelType w:val="multilevel"/>
    <w:tmpl w:val="D6C008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71"/>
    <w:rsid w:val="00095BCC"/>
    <w:rsid w:val="00276BC4"/>
    <w:rsid w:val="00481BAF"/>
    <w:rsid w:val="00E80F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1AFD6"/>
  <w15:docId w15:val="{E29BD72B-4051-4315-905F-1FF3397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color w:val="460A0A"/>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750908"/>
      <w:sz w:val="24"/>
      <w:szCs w:val="24"/>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left="1350"/>
    </w:pPr>
    <w:rPr>
      <w:rFonts w:ascii="Arial" w:eastAsia="Arial" w:hAnsi="Arial" w:cs="Arial"/>
      <w:sz w:val="16"/>
      <w:szCs w:val="16"/>
    </w:rPr>
  </w:style>
  <w:style w:type="paragraph" w:customStyle="1" w:styleId="Heading11">
    <w:name w:val="Heading #1"/>
    <w:basedOn w:val="Normal"/>
    <w:link w:val="Heading10"/>
    <w:pPr>
      <w:jc w:val="center"/>
      <w:outlineLvl w:val="0"/>
    </w:pPr>
    <w:rPr>
      <w:rFonts w:ascii="Times New Roman" w:eastAsia="Times New Roman" w:hAnsi="Times New Roman" w:cs="Times New Roman"/>
      <w:sz w:val="26"/>
      <w:szCs w:val="26"/>
    </w:rPr>
  </w:style>
  <w:style w:type="paragraph" w:customStyle="1" w:styleId="Bodytext50">
    <w:name w:val="Body text (5)"/>
    <w:basedOn w:val="Normal"/>
    <w:link w:val="Bodytext5"/>
    <w:pPr>
      <w:jc w:val="right"/>
    </w:pPr>
    <w:rPr>
      <w:rFonts w:ascii="Times New Roman" w:eastAsia="Times New Roman" w:hAnsi="Times New Roman" w:cs="Times New Roman"/>
      <w:i/>
      <w:iCs/>
      <w:color w:val="460A0A"/>
      <w:sz w:val="15"/>
      <w:szCs w:val="15"/>
    </w:rPr>
  </w:style>
  <w:style w:type="paragraph" w:customStyle="1" w:styleId="Bodytext20">
    <w:name w:val="Body text (2)"/>
    <w:basedOn w:val="Normal"/>
    <w:link w:val="Bodytext2"/>
    <w:rPr>
      <w:rFonts w:ascii="Times New Roman" w:eastAsia="Times New Roman" w:hAnsi="Times New Roman" w:cs="Times New Roman"/>
      <w:i/>
      <w:iCs/>
      <w:sz w:val="19"/>
      <w:szCs w:val="19"/>
    </w:rPr>
  </w:style>
  <w:style w:type="paragraph" w:customStyle="1" w:styleId="Bodytext30">
    <w:name w:val="Body text (3)"/>
    <w:basedOn w:val="Normal"/>
    <w:link w:val="Bodytext3"/>
    <w:rPr>
      <w:rFonts w:ascii="Cambria" w:eastAsia="Cambria" w:hAnsi="Cambria" w:cs="Cambria"/>
      <w:b/>
      <w:bCs/>
      <w:color w:val="75090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wNzdfomKuZn8EyaAFGyiE9xUOg==">CgMxLjAyCGguZ2pkZ3hzOAByITFzeWNDMGxaRWxkWnIxMnVVQk8tbFBNNm1NYks0XzRfZg==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2434</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2024-04-19T03:50:00Z</dcterms:created>
  <dcterms:modified xsi:type="dcterms:W3CDTF">2024-04-21T18:59:00Z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35786959145df1ec17673b7f2ebb39b8a6d2ce67897a74b133028c37c3283b66</vt:lpwstr>
  </property>
</Properties>
</file>