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9A8C"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sidRPr="00402F8F">
        <w:rPr>
          <w:rFonts w:ascii="Arial" w:hAnsi="Arial" w:cs="Arial"/>
          <w:b/>
          <w:sz w:val="20"/>
        </w:rPr>
        <w:t>FHN: Annual General Mandate 2024</w:t>
      </w:r>
    </w:p>
    <w:p w14:paraId="589AE9D7"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On April 12, 2024, Hanoi Food Import - Export Joint Stock Company announced General Mandate No. 348/NQ-DHDCD as follows:</w:t>
      </w:r>
    </w:p>
    <w:p w14:paraId="4A09B60C"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1. Approve the report on business and production results in 2023 and business production plan for 2024 with some main contents as follows:</w:t>
      </w:r>
    </w:p>
    <w:p w14:paraId="7199B523" w14:textId="77777777" w:rsidR="006B5311" w:rsidRPr="00402F8F" w:rsidRDefault="00701638" w:rsidP="003224BF">
      <w:pPr>
        <w:numPr>
          <w:ilvl w:val="0"/>
          <w:numId w:val="4"/>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Production and business resuts in 2023:</w:t>
      </w:r>
    </w:p>
    <w:p w14:paraId="30C6E432" w14:textId="74BDD3B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 xml:space="preserve">Total revenue, income: </w:t>
      </w:r>
      <w:r w:rsidR="00402F8F" w:rsidRPr="00402F8F">
        <w:rPr>
          <w:rFonts w:ascii="Arial" w:hAnsi="Arial" w:cs="Arial"/>
          <w:sz w:val="20"/>
        </w:rPr>
        <w:t xml:space="preserve">VND </w:t>
      </w:r>
      <w:r w:rsidRPr="00402F8F">
        <w:rPr>
          <w:rFonts w:ascii="Arial" w:hAnsi="Arial" w:cs="Arial"/>
          <w:sz w:val="20"/>
        </w:rPr>
        <w:t>1,001,162</w:t>
      </w:r>
      <w:r w:rsidR="00402F8F">
        <w:rPr>
          <w:rFonts w:ascii="Arial" w:hAnsi="Arial" w:cs="Arial"/>
          <w:sz w:val="20"/>
        </w:rPr>
        <w:t xml:space="preserve"> million</w:t>
      </w:r>
      <w:r w:rsidRPr="00402F8F">
        <w:rPr>
          <w:rFonts w:ascii="Arial" w:hAnsi="Arial" w:cs="Arial"/>
          <w:sz w:val="20"/>
        </w:rPr>
        <w:t>/</w:t>
      </w:r>
      <w:r w:rsidR="00402F8F">
        <w:rPr>
          <w:rFonts w:ascii="Arial" w:hAnsi="Arial" w:cs="Arial"/>
          <w:sz w:val="20"/>
        </w:rPr>
        <w:t xml:space="preserve">VND </w:t>
      </w:r>
      <w:r w:rsidRPr="00402F8F">
        <w:rPr>
          <w:rFonts w:ascii="Arial" w:hAnsi="Arial" w:cs="Arial"/>
          <w:sz w:val="20"/>
        </w:rPr>
        <w:t>700,000 million, reaching 143%</w:t>
      </w:r>
    </w:p>
    <w:p w14:paraId="592D1BF8" w14:textId="0C5C89F5"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 xml:space="preserve">Profit after tax: </w:t>
      </w:r>
      <w:r w:rsidR="00402F8F">
        <w:rPr>
          <w:rFonts w:ascii="Arial" w:hAnsi="Arial" w:cs="Arial"/>
          <w:sz w:val="20"/>
        </w:rPr>
        <w:t xml:space="preserve">VND </w:t>
      </w:r>
      <w:r w:rsidRPr="00402F8F">
        <w:rPr>
          <w:rFonts w:ascii="Arial" w:hAnsi="Arial" w:cs="Arial"/>
          <w:sz w:val="20"/>
        </w:rPr>
        <w:t>2,034</w:t>
      </w:r>
      <w:r w:rsidR="00402F8F">
        <w:rPr>
          <w:rFonts w:ascii="Arial" w:hAnsi="Arial" w:cs="Arial"/>
          <w:sz w:val="20"/>
        </w:rPr>
        <w:t xml:space="preserve"> million</w:t>
      </w:r>
      <w:r w:rsidRPr="00402F8F">
        <w:rPr>
          <w:rFonts w:ascii="Arial" w:hAnsi="Arial" w:cs="Arial"/>
          <w:sz w:val="20"/>
        </w:rPr>
        <w:t>/</w:t>
      </w:r>
      <w:r w:rsidR="00402F8F">
        <w:rPr>
          <w:rFonts w:ascii="Arial" w:hAnsi="Arial" w:cs="Arial"/>
          <w:sz w:val="20"/>
        </w:rPr>
        <w:t xml:space="preserve">VND </w:t>
      </w:r>
      <w:r w:rsidRPr="00402F8F">
        <w:rPr>
          <w:rFonts w:ascii="Arial" w:hAnsi="Arial" w:cs="Arial"/>
          <w:sz w:val="20"/>
        </w:rPr>
        <w:t>2,000 million, reaching 101.7%</w:t>
      </w:r>
    </w:p>
    <w:p w14:paraId="3296CFB6" w14:textId="7777777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Payables to the State Budget: VND 14,188 million;</w:t>
      </w:r>
    </w:p>
    <w:p w14:paraId="5EAB520E" w14:textId="6EE21A4D"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Average income</w:t>
      </w:r>
      <w:r w:rsidR="0082140A">
        <w:rPr>
          <w:rFonts w:ascii="Arial" w:hAnsi="Arial" w:cs="Arial"/>
          <w:sz w:val="20"/>
        </w:rPr>
        <w:t>:</w:t>
      </w:r>
      <w:r w:rsidRPr="00402F8F">
        <w:rPr>
          <w:rFonts w:ascii="Arial" w:hAnsi="Arial" w:cs="Arial"/>
          <w:sz w:val="20"/>
        </w:rPr>
        <w:t xml:space="preserve"> VND 9,400,000/person/month</w:t>
      </w:r>
    </w:p>
    <w:p w14:paraId="6D77D43A" w14:textId="7317FBA6"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Dividends in 2023</w:t>
      </w:r>
      <w:r w:rsidR="0082140A">
        <w:rPr>
          <w:rFonts w:ascii="Arial" w:hAnsi="Arial" w:cs="Arial"/>
          <w:sz w:val="20"/>
        </w:rPr>
        <w:t>:</w:t>
      </w:r>
      <w:r w:rsidRPr="00402F8F">
        <w:rPr>
          <w:rFonts w:ascii="Arial" w:hAnsi="Arial" w:cs="Arial"/>
          <w:sz w:val="20"/>
        </w:rPr>
        <w:t xml:space="preserve"> 4%</w:t>
      </w:r>
    </w:p>
    <w:p w14:paraId="2915998D" w14:textId="77777777" w:rsidR="006B5311" w:rsidRPr="00402F8F" w:rsidRDefault="00701638" w:rsidP="003224BF">
      <w:pPr>
        <w:numPr>
          <w:ilvl w:val="0"/>
          <w:numId w:val="4"/>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Production and business plan for 2024:</w:t>
      </w:r>
    </w:p>
    <w:p w14:paraId="3CB08007" w14:textId="7777777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Total revenue, income: VND 750,000 million;</w:t>
      </w:r>
    </w:p>
    <w:p w14:paraId="5A2C6329" w14:textId="7777777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Profit before tax: VND 2,700 million;</w:t>
      </w:r>
    </w:p>
    <w:p w14:paraId="73E4F4D5" w14:textId="7777777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Profit after tax: VND 2,200 million;</w:t>
      </w:r>
    </w:p>
    <w:p w14:paraId="31918086" w14:textId="77777777"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Expected dividend payment rate: 4% (Not including the dividend of 6%/charter capital/year from the residual value of real estate received from the business cooperation contract and the value of the advantage of exploiting land use rights contributed to PPBL JSC, VNFI, equivalent to VND 1.8 billion)</w:t>
      </w:r>
    </w:p>
    <w:p w14:paraId="35FC52F2" w14:textId="05E8247B" w:rsidR="006B5311" w:rsidRPr="00402F8F" w:rsidRDefault="00701638" w:rsidP="003224BF">
      <w:pPr>
        <w:numPr>
          <w:ilvl w:val="0"/>
          <w:numId w:val="5"/>
        </w:numPr>
        <w:pBdr>
          <w:top w:val="nil"/>
          <w:left w:val="nil"/>
          <w:bottom w:val="nil"/>
          <w:right w:val="nil"/>
          <w:between w:val="nil"/>
        </w:pBdr>
        <w:tabs>
          <w:tab w:val="left" w:pos="540"/>
          <w:tab w:val="left" w:pos="567"/>
        </w:tabs>
        <w:spacing w:after="120" w:line="360" w:lineRule="auto"/>
        <w:jc w:val="both"/>
        <w:rPr>
          <w:rFonts w:ascii="Arial" w:eastAsia="Arial" w:hAnsi="Arial" w:cs="Arial"/>
          <w:sz w:val="20"/>
          <w:szCs w:val="20"/>
        </w:rPr>
      </w:pPr>
      <w:r w:rsidRPr="00402F8F">
        <w:rPr>
          <w:rFonts w:ascii="Arial" w:hAnsi="Arial" w:cs="Arial"/>
          <w:sz w:val="20"/>
        </w:rPr>
        <w:t>Contribution to state budget, average income: According to the regulations</w:t>
      </w:r>
    </w:p>
    <w:p w14:paraId="2C06E595"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The General Meeting of Shareholders authorizes the Board of Directors to actively adjust the business plan in 2024 so that the planned targets are suitable to the actual situation while still ensuring benefits for the Company, investors and shareholders in terms of capital preservation and ensuring the expected dividend as planned.</w:t>
      </w:r>
    </w:p>
    <w:p w14:paraId="1FA24C8A"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2. Approve the report of the Board of Directors on the performance results of the Board of Directors in 2023 and the direction and tasks for 2024.</w:t>
      </w:r>
    </w:p>
    <w:p w14:paraId="305F0195" w14:textId="7685D1B8"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3. Approve the audited Financial Statements, the plan for profit distribution, appropriation of funds and dividend payment in 2023</w:t>
      </w:r>
    </w:p>
    <w:tbl>
      <w:tblPr>
        <w:tblStyle w:val="a"/>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5210"/>
        <w:gridCol w:w="2040"/>
        <w:gridCol w:w="903"/>
      </w:tblGrid>
      <w:tr w:rsidR="00402F8F" w:rsidRPr="00402F8F" w14:paraId="208054AB" w14:textId="77777777" w:rsidTr="00402F8F">
        <w:tc>
          <w:tcPr>
            <w:tcW w:w="368" w:type="pct"/>
            <w:shd w:val="clear" w:color="auto" w:fill="auto"/>
            <w:tcMar>
              <w:top w:w="0" w:type="dxa"/>
              <w:bottom w:w="0" w:type="dxa"/>
            </w:tcMar>
            <w:vAlign w:val="center"/>
          </w:tcPr>
          <w:p w14:paraId="47CC747D"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No.</w:t>
            </w:r>
          </w:p>
        </w:tc>
        <w:tc>
          <w:tcPr>
            <w:tcW w:w="2960" w:type="pct"/>
            <w:shd w:val="clear" w:color="auto" w:fill="auto"/>
            <w:tcMar>
              <w:top w:w="0" w:type="dxa"/>
              <w:bottom w:w="0" w:type="dxa"/>
            </w:tcMar>
            <w:vAlign w:val="center"/>
          </w:tcPr>
          <w:p w14:paraId="099DC491"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Targets</w:t>
            </w:r>
          </w:p>
        </w:tc>
        <w:tc>
          <w:tcPr>
            <w:tcW w:w="1159" w:type="pct"/>
            <w:shd w:val="clear" w:color="auto" w:fill="auto"/>
            <w:tcMar>
              <w:top w:w="0" w:type="dxa"/>
              <w:bottom w:w="0" w:type="dxa"/>
            </w:tcMar>
            <w:vAlign w:val="center"/>
          </w:tcPr>
          <w:p w14:paraId="56B7B59D"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Amount</w:t>
            </w:r>
          </w:p>
        </w:tc>
        <w:tc>
          <w:tcPr>
            <w:tcW w:w="513" w:type="pct"/>
            <w:shd w:val="clear" w:color="auto" w:fill="auto"/>
            <w:tcMar>
              <w:top w:w="0" w:type="dxa"/>
              <w:bottom w:w="0" w:type="dxa"/>
            </w:tcMar>
            <w:vAlign w:val="center"/>
          </w:tcPr>
          <w:p w14:paraId="60BF2877"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Unit</w:t>
            </w:r>
          </w:p>
        </w:tc>
      </w:tr>
      <w:tr w:rsidR="00402F8F" w:rsidRPr="00402F8F" w14:paraId="627B45C1" w14:textId="77777777" w:rsidTr="00402F8F">
        <w:tc>
          <w:tcPr>
            <w:tcW w:w="368" w:type="pct"/>
            <w:shd w:val="clear" w:color="auto" w:fill="auto"/>
            <w:tcMar>
              <w:top w:w="0" w:type="dxa"/>
              <w:bottom w:w="0" w:type="dxa"/>
            </w:tcMar>
            <w:vAlign w:val="center"/>
          </w:tcPr>
          <w:p w14:paraId="763CEC20"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w:t>
            </w:r>
          </w:p>
        </w:tc>
        <w:tc>
          <w:tcPr>
            <w:tcW w:w="2960" w:type="pct"/>
            <w:shd w:val="clear" w:color="auto" w:fill="auto"/>
            <w:tcMar>
              <w:top w:w="0" w:type="dxa"/>
              <w:bottom w:w="0" w:type="dxa"/>
            </w:tcMar>
            <w:vAlign w:val="center"/>
          </w:tcPr>
          <w:p w14:paraId="1A3B76D2"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Short-term assets:</w:t>
            </w:r>
          </w:p>
        </w:tc>
        <w:tc>
          <w:tcPr>
            <w:tcW w:w="1159" w:type="pct"/>
            <w:shd w:val="clear" w:color="auto" w:fill="auto"/>
            <w:tcMar>
              <w:top w:w="0" w:type="dxa"/>
              <w:bottom w:w="0" w:type="dxa"/>
            </w:tcMar>
            <w:vAlign w:val="center"/>
          </w:tcPr>
          <w:p w14:paraId="1495D126"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105,781,055,778</w:t>
            </w:r>
          </w:p>
        </w:tc>
        <w:tc>
          <w:tcPr>
            <w:tcW w:w="513" w:type="pct"/>
            <w:shd w:val="clear" w:color="auto" w:fill="auto"/>
            <w:tcMar>
              <w:top w:w="0" w:type="dxa"/>
              <w:bottom w:w="0" w:type="dxa"/>
            </w:tcMar>
            <w:vAlign w:val="center"/>
          </w:tcPr>
          <w:p w14:paraId="528564DD"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14BA1423" w14:textId="77777777" w:rsidTr="00402F8F">
        <w:tc>
          <w:tcPr>
            <w:tcW w:w="368" w:type="pct"/>
            <w:shd w:val="clear" w:color="auto" w:fill="auto"/>
            <w:tcMar>
              <w:top w:w="0" w:type="dxa"/>
              <w:bottom w:w="0" w:type="dxa"/>
            </w:tcMar>
            <w:vAlign w:val="center"/>
          </w:tcPr>
          <w:p w14:paraId="2E2FE44A"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2</w:t>
            </w:r>
          </w:p>
        </w:tc>
        <w:tc>
          <w:tcPr>
            <w:tcW w:w="2960" w:type="pct"/>
            <w:shd w:val="clear" w:color="auto" w:fill="auto"/>
            <w:tcMar>
              <w:top w:w="0" w:type="dxa"/>
              <w:bottom w:w="0" w:type="dxa"/>
            </w:tcMar>
            <w:vAlign w:val="center"/>
          </w:tcPr>
          <w:p w14:paraId="7E55C94A"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Long-term assets:</w:t>
            </w:r>
          </w:p>
        </w:tc>
        <w:tc>
          <w:tcPr>
            <w:tcW w:w="1159" w:type="pct"/>
            <w:shd w:val="clear" w:color="auto" w:fill="auto"/>
            <w:tcMar>
              <w:top w:w="0" w:type="dxa"/>
              <w:bottom w:w="0" w:type="dxa"/>
            </w:tcMar>
            <w:vAlign w:val="center"/>
          </w:tcPr>
          <w:p w14:paraId="0336D28A"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103,807,453,507</w:t>
            </w:r>
          </w:p>
        </w:tc>
        <w:tc>
          <w:tcPr>
            <w:tcW w:w="513" w:type="pct"/>
            <w:shd w:val="clear" w:color="auto" w:fill="auto"/>
            <w:tcMar>
              <w:top w:w="0" w:type="dxa"/>
              <w:bottom w:w="0" w:type="dxa"/>
            </w:tcMar>
            <w:vAlign w:val="center"/>
          </w:tcPr>
          <w:p w14:paraId="69379773"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669FED2A" w14:textId="77777777" w:rsidTr="00402F8F">
        <w:tc>
          <w:tcPr>
            <w:tcW w:w="368" w:type="pct"/>
            <w:shd w:val="clear" w:color="auto" w:fill="auto"/>
            <w:tcMar>
              <w:top w:w="0" w:type="dxa"/>
              <w:bottom w:w="0" w:type="dxa"/>
            </w:tcMar>
            <w:vAlign w:val="center"/>
          </w:tcPr>
          <w:p w14:paraId="41A348C6"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3</w:t>
            </w:r>
          </w:p>
        </w:tc>
        <w:tc>
          <w:tcPr>
            <w:tcW w:w="2960" w:type="pct"/>
            <w:shd w:val="clear" w:color="auto" w:fill="auto"/>
            <w:tcMar>
              <w:top w:w="0" w:type="dxa"/>
              <w:bottom w:w="0" w:type="dxa"/>
            </w:tcMar>
            <w:vAlign w:val="center"/>
          </w:tcPr>
          <w:p w14:paraId="302BA767"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Payables</w:t>
            </w:r>
          </w:p>
        </w:tc>
        <w:tc>
          <w:tcPr>
            <w:tcW w:w="1159" w:type="pct"/>
            <w:shd w:val="clear" w:color="auto" w:fill="auto"/>
            <w:tcMar>
              <w:top w:w="0" w:type="dxa"/>
              <w:bottom w:w="0" w:type="dxa"/>
            </w:tcMar>
            <w:vAlign w:val="center"/>
          </w:tcPr>
          <w:p w14:paraId="490444D8"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106,311,710,663</w:t>
            </w:r>
          </w:p>
        </w:tc>
        <w:tc>
          <w:tcPr>
            <w:tcW w:w="513" w:type="pct"/>
            <w:shd w:val="clear" w:color="auto" w:fill="auto"/>
            <w:tcMar>
              <w:top w:w="0" w:type="dxa"/>
              <w:bottom w:w="0" w:type="dxa"/>
            </w:tcMar>
            <w:vAlign w:val="center"/>
          </w:tcPr>
          <w:p w14:paraId="43D1E736"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106B021E" w14:textId="77777777" w:rsidTr="00402F8F">
        <w:tc>
          <w:tcPr>
            <w:tcW w:w="368" w:type="pct"/>
            <w:shd w:val="clear" w:color="auto" w:fill="auto"/>
            <w:tcMar>
              <w:top w:w="0" w:type="dxa"/>
              <w:bottom w:w="0" w:type="dxa"/>
            </w:tcMar>
            <w:vAlign w:val="center"/>
          </w:tcPr>
          <w:p w14:paraId="205A4957"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4</w:t>
            </w:r>
          </w:p>
        </w:tc>
        <w:tc>
          <w:tcPr>
            <w:tcW w:w="2960" w:type="pct"/>
            <w:shd w:val="clear" w:color="auto" w:fill="auto"/>
            <w:tcMar>
              <w:top w:w="0" w:type="dxa"/>
              <w:bottom w:w="0" w:type="dxa"/>
            </w:tcMar>
            <w:vAlign w:val="center"/>
          </w:tcPr>
          <w:p w14:paraId="42BC435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Owners' equity</w:t>
            </w:r>
          </w:p>
        </w:tc>
        <w:tc>
          <w:tcPr>
            <w:tcW w:w="1159" w:type="pct"/>
            <w:shd w:val="clear" w:color="auto" w:fill="auto"/>
            <w:tcMar>
              <w:top w:w="0" w:type="dxa"/>
              <w:bottom w:w="0" w:type="dxa"/>
            </w:tcMar>
            <w:vAlign w:val="center"/>
          </w:tcPr>
          <w:p w14:paraId="41C5F881"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103,276,798,622</w:t>
            </w:r>
          </w:p>
        </w:tc>
        <w:tc>
          <w:tcPr>
            <w:tcW w:w="513" w:type="pct"/>
            <w:shd w:val="clear" w:color="auto" w:fill="auto"/>
            <w:tcMar>
              <w:top w:w="0" w:type="dxa"/>
              <w:bottom w:w="0" w:type="dxa"/>
            </w:tcMar>
            <w:vAlign w:val="center"/>
          </w:tcPr>
          <w:p w14:paraId="62DB4175"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4F0DDDF6" w14:textId="77777777" w:rsidTr="00402F8F">
        <w:tc>
          <w:tcPr>
            <w:tcW w:w="368" w:type="pct"/>
            <w:shd w:val="clear" w:color="auto" w:fill="auto"/>
            <w:tcMar>
              <w:top w:w="0" w:type="dxa"/>
              <w:bottom w:w="0" w:type="dxa"/>
            </w:tcMar>
            <w:vAlign w:val="center"/>
          </w:tcPr>
          <w:p w14:paraId="743CFFDA"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lastRenderedPageBreak/>
              <w:t>5</w:t>
            </w:r>
          </w:p>
        </w:tc>
        <w:tc>
          <w:tcPr>
            <w:tcW w:w="2960" w:type="pct"/>
            <w:shd w:val="clear" w:color="auto" w:fill="auto"/>
            <w:tcMar>
              <w:top w:w="0" w:type="dxa"/>
              <w:bottom w:w="0" w:type="dxa"/>
            </w:tcMar>
            <w:vAlign w:val="center"/>
          </w:tcPr>
          <w:p w14:paraId="63304EEC"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Total revenue net of internal transactions</w:t>
            </w:r>
          </w:p>
        </w:tc>
        <w:tc>
          <w:tcPr>
            <w:tcW w:w="1159" w:type="pct"/>
            <w:shd w:val="clear" w:color="auto" w:fill="auto"/>
            <w:tcMar>
              <w:top w:w="0" w:type="dxa"/>
              <w:bottom w:w="0" w:type="dxa"/>
            </w:tcMar>
            <w:vAlign w:val="center"/>
          </w:tcPr>
          <w:p w14:paraId="60B00DEF"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1,001,162,421,273</w:t>
            </w:r>
          </w:p>
        </w:tc>
        <w:tc>
          <w:tcPr>
            <w:tcW w:w="513" w:type="pct"/>
            <w:shd w:val="clear" w:color="auto" w:fill="auto"/>
            <w:tcMar>
              <w:top w:w="0" w:type="dxa"/>
              <w:bottom w:w="0" w:type="dxa"/>
            </w:tcMar>
            <w:vAlign w:val="center"/>
          </w:tcPr>
          <w:p w14:paraId="5D1378C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368D4CBE" w14:textId="77777777" w:rsidTr="00402F8F">
        <w:tc>
          <w:tcPr>
            <w:tcW w:w="368" w:type="pct"/>
            <w:shd w:val="clear" w:color="auto" w:fill="auto"/>
            <w:tcMar>
              <w:top w:w="0" w:type="dxa"/>
              <w:bottom w:w="0" w:type="dxa"/>
            </w:tcMar>
            <w:vAlign w:val="center"/>
          </w:tcPr>
          <w:p w14:paraId="6208F484"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6</w:t>
            </w:r>
          </w:p>
        </w:tc>
        <w:tc>
          <w:tcPr>
            <w:tcW w:w="2960" w:type="pct"/>
            <w:shd w:val="clear" w:color="auto" w:fill="auto"/>
            <w:tcMar>
              <w:top w:w="0" w:type="dxa"/>
              <w:bottom w:w="0" w:type="dxa"/>
            </w:tcMar>
            <w:vAlign w:val="center"/>
          </w:tcPr>
          <w:p w14:paraId="0C99571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Total expenses net of internal transactions</w:t>
            </w:r>
          </w:p>
        </w:tc>
        <w:tc>
          <w:tcPr>
            <w:tcW w:w="1159" w:type="pct"/>
            <w:shd w:val="clear" w:color="auto" w:fill="auto"/>
            <w:tcMar>
              <w:top w:w="0" w:type="dxa"/>
              <w:bottom w:w="0" w:type="dxa"/>
            </w:tcMar>
            <w:vAlign w:val="center"/>
          </w:tcPr>
          <w:p w14:paraId="6DB1C500"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997,820,478,764</w:t>
            </w:r>
          </w:p>
        </w:tc>
        <w:tc>
          <w:tcPr>
            <w:tcW w:w="513" w:type="pct"/>
            <w:shd w:val="clear" w:color="auto" w:fill="auto"/>
            <w:tcMar>
              <w:top w:w="0" w:type="dxa"/>
              <w:bottom w:w="0" w:type="dxa"/>
            </w:tcMar>
            <w:vAlign w:val="center"/>
          </w:tcPr>
          <w:p w14:paraId="57DF8F67"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6CB2ACAB" w14:textId="77777777" w:rsidTr="00402F8F">
        <w:tc>
          <w:tcPr>
            <w:tcW w:w="368" w:type="pct"/>
            <w:shd w:val="clear" w:color="auto" w:fill="auto"/>
            <w:tcMar>
              <w:top w:w="0" w:type="dxa"/>
              <w:bottom w:w="0" w:type="dxa"/>
            </w:tcMar>
            <w:vAlign w:val="center"/>
          </w:tcPr>
          <w:p w14:paraId="65C5E532"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7</w:t>
            </w:r>
          </w:p>
        </w:tc>
        <w:tc>
          <w:tcPr>
            <w:tcW w:w="2960" w:type="pct"/>
            <w:shd w:val="clear" w:color="auto" w:fill="auto"/>
            <w:tcMar>
              <w:top w:w="0" w:type="dxa"/>
              <w:bottom w:w="0" w:type="dxa"/>
            </w:tcMar>
            <w:vAlign w:val="center"/>
          </w:tcPr>
          <w:p w14:paraId="73F696A3"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Profit before corporate income tax 2023 = (5)-(6)</w:t>
            </w:r>
          </w:p>
        </w:tc>
        <w:tc>
          <w:tcPr>
            <w:tcW w:w="1159" w:type="pct"/>
            <w:shd w:val="clear" w:color="auto" w:fill="auto"/>
            <w:tcMar>
              <w:top w:w="0" w:type="dxa"/>
              <w:bottom w:w="0" w:type="dxa"/>
            </w:tcMar>
            <w:vAlign w:val="center"/>
          </w:tcPr>
          <w:p w14:paraId="085A23C3"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3,341,942,509</w:t>
            </w:r>
          </w:p>
        </w:tc>
        <w:tc>
          <w:tcPr>
            <w:tcW w:w="513" w:type="pct"/>
            <w:shd w:val="clear" w:color="auto" w:fill="auto"/>
            <w:tcMar>
              <w:top w:w="0" w:type="dxa"/>
              <w:bottom w:w="0" w:type="dxa"/>
            </w:tcMar>
            <w:vAlign w:val="center"/>
          </w:tcPr>
          <w:p w14:paraId="051AB587"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5EE9964F" w14:textId="77777777" w:rsidTr="00402F8F">
        <w:tc>
          <w:tcPr>
            <w:tcW w:w="368" w:type="pct"/>
            <w:shd w:val="clear" w:color="auto" w:fill="auto"/>
            <w:tcMar>
              <w:top w:w="0" w:type="dxa"/>
              <w:bottom w:w="0" w:type="dxa"/>
            </w:tcMar>
            <w:vAlign w:val="center"/>
          </w:tcPr>
          <w:p w14:paraId="1D9717E8"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8</w:t>
            </w:r>
          </w:p>
        </w:tc>
        <w:tc>
          <w:tcPr>
            <w:tcW w:w="2960" w:type="pct"/>
            <w:shd w:val="clear" w:color="auto" w:fill="auto"/>
            <w:tcMar>
              <w:top w:w="0" w:type="dxa"/>
              <w:bottom w:w="0" w:type="dxa"/>
            </w:tcMar>
            <w:vAlign w:val="center"/>
          </w:tcPr>
          <w:p w14:paraId="487CD574"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Payable corporate income tax 2023</w:t>
            </w:r>
          </w:p>
        </w:tc>
        <w:tc>
          <w:tcPr>
            <w:tcW w:w="1159" w:type="pct"/>
            <w:shd w:val="clear" w:color="auto" w:fill="auto"/>
            <w:tcMar>
              <w:top w:w="0" w:type="dxa"/>
              <w:bottom w:w="0" w:type="dxa"/>
            </w:tcMar>
            <w:vAlign w:val="center"/>
          </w:tcPr>
          <w:p w14:paraId="72142541"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1,308,240,285</w:t>
            </w:r>
          </w:p>
        </w:tc>
        <w:tc>
          <w:tcPr>
            <w:tcW w:w="513" w:type="pct"/>
            <w:shd w:val="clear" w:color="auto" w:fill="auto"/>
            <w:tcMar>
              <w:top w:w="0" w:type="dxa"/>
              <w:bottom w:w="0" w:type="dxa"/>
            </w:tcMar>
            <w:vAlign w:val="center"/>
          </w:tcPr>
          <w:p w14:paraId="09E630C4"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31E34C01" w14:textId="77777777" w:rsidTr="00402F8F">
        <w:tc>
          <w:tcPr>
            <w:tcW w:w="368" w:type="pct"/>
            <w:shd w:val="clear" w:color="auto" w:fill="auto"/>
            <w:tcMar>
              <w:top w:w="0" w:type="dxa"/>
              <w:bottom w:w="0" w:type="dxa"/>
            </w:tcMar>
            <w:vAlign w:val="center"/>
          </w:tcPr>
          <w:p w14:paraId="42383D00"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9</w:t>
            </w:r>
          </w:p>
        </w:tc>
        <w:tc>
          <w:tcPr>
            <w:tcW w:w="2960" w:type="pct"/>
            <w:shd w:val="clear" w:color="auto" w:fill="auto"/>
            <w:tcMar>
              <w:top w:w="0" w:type="dxa"/>
              <w:bottom w:w="0" w:type="dxa"/>
            </w:tcMar>
            <w:vAlign w:val="center"/>
          </w:tcPr>
          <w:p w14:paraId="0288FCD9"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Profit after tax in 7-8:</w:t>
            </w:r>
          </w:p>
        </w:tc>
        <w:tc>
          <w:tcPr>
            <w:tcW w:w="1159" w:type="pct"/>
            <w:shd w:val="clear" w:color="auto" w:fill="auto"/>
            <w:tcMar>
              <w:top w:w="0" w:type="dxa"/>
              <w:bottom w:w="0" w:type="dxa"/>
            </w:tcMar>
            <w:vAlign w:val="center"/>
          </w:tcPr>
          <w:p w14:paraId="55E86B6E"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2,033,702,224</w:t>
            </w:r>
          </w:p>
        </w:tc>
        <w:tc>
          <w:tcPr>
            <w:tcW w:w="513" w:type="pct"/>
            <w:shd w:val="clear" w:color="auto" w:fill="auto"/>
            <w:tcMar>
              <w:top w:w="0" w:type="dxa"/>
              <w:bottom w:w="0" w:type="dxa"/>
            </w:tcMar>
            <w:vAlign w:val="center"/>
          </w:tcPr>
          <w:p w14:paraId="506E4895"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18F018ED" w14:textId="77777777" w:rsidTr="00402F8F">
        <w:tc>
          <w:tcPr>
            <w:tcW w:w="368" w:type="pct"/>
            <w:shd w:val="clear" w:color="auto" w:fill="auto"/>
            <w:tcMar>
              <w:top w:w="0" w:type="dxa"/>
              <w:bottom w:w="0" w:type="dxa"/>
            </w:tcMar>
            <w:vAlign w:val="center"/>
          </w:tcPr>
          <w:p w14:paraId="77E78DF6"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10</w:t>
            </w:r>
          </w:p>
        </w:tc>
        <w:tc>
          <w:tcPr>
            <w:tcW w:w="2960" w:type="pct"/>
            <w:shd w:val="clear" w:color="auto" w:fill="auto"/>
            <w:tcMar>
              <w:top w:w="0" w:type="dxa"/>
              <w:bottom w:w="0" w:type="dxa"/>
            </w:tcMar>
            <w:vAlign w:val="center"/>
          </w:tcPr>
          <w:p w14:paraId="093E2123"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Foreign exchange gain from revaluation of foreign currency balance at the end of the previous year carried forward to this year</w:t>
            </w:r>
          </w:p>
        </w:tc>
        <w:tc>
          <w:tcPr>
            <w:tcW w:w="1159" w:type="pct"/>
            <w:shd w:val="clear" w:color="auto" w:fill="auto"/>
            <w:tcMar>
              <w:top w:w="0" w:type="dxa"/>
              <w:bottom w:w="0" w:type="dxa"/>
            </w:tcMar>
            <w:vAlign w:val="center"/>
          </w:tcPr>
          <w:p w14:paraId="5BF46217"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92,790,721</w:t>
            </w:r>
          </w:p>
        </w:tc>
        <w:tc>
          <w:tcPr>
            <w:tcW w:w="513" w:type="pct"/>
            <w:shd w:val="clear" w:color="auto" w:fill="auto"/>
            <w:tcMar>
              <w:top w:w="0" w:type="dxa"/>
              <w:bottom w:w="0" w:type="dxa"/>
            </w:tcMar>
            <w:vAlign w:val="center"/>
          </w:tcPr>
          <w:p w14:paraId="4963E90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727F2895" w14:textId="77777777" w:rsidTr="00402F8F">
        <w:tc>
          <w:tcPr>
            <w:tcW w:w="368" w:type="pct"/>
            <w:shd w:val="clear" w:color="auto" w:fill="auto"/>
            <w:tcMar>
              <w:top w:w="0" w:type="dxa"/>
              <w:bottom w:w="0" w:type="dxa"/>
            </w:tcMar>
            <w:vAlign w:val="center"/>
          </w:tcPr>
          <w:p w14:paraId="4DF8EBFA"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11</w:t>
            </w:r>
          </w:p>
        </w:tc>
        <w:tc>
          <w:tcPr>
            <w:tcW w:w="2960" w:type="pct"/>
            <w:shd w:val="clear" w:color="auto" w:fill="auto"/>
            <w:tcMar>
              <w:top w:w="0" w:type="dxa"/>
              <w:bottom w:w="0" w:type="dxa"/>
            </w:tcMar>
            <w:vAlign w:val="center"/>
          </w:tcPr>
          <w:p w14:paraId="6181B248"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Foreign exchange gain from revaluation of foreign currency balance at the end of this year carried forward to the next year</w:t>
            </w:r>
          </w:p>
        </w:tc>
        <w:tc>
          <w:tcPr>
            <w:tcW w:w="1159" w:type="pct"/>
            <w:shd w:val="clear" w:color="auto" w:fill="auto"/>
            <w:tcMar>
              <w:top w:w="0" w:type="dxa"/>
              <w:bottom w:w="0" w:type="dxa"/>
            </w:tcMar>
            <w:vAlign w:val="center"/>
          </w:tcPr>
          <w:p w14:paraId="130EB7BE"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6,191,500</w:t>
            </w:r>
          </w:p>
        </w:tc>
        <w:tc>
          <w:tcPr>
            <w:tcW w:w="513" w:type="pct"/>
            <w:shd w:val="clear" w:color="auto" w:fill="auto"/>
            <w:tcMar>
              <w:top w:w="0" w:type="dxa"/>
              <w:bottom w:w="0" w:type="dxa"/>
            </w:tcMar>
            <w:vAlign w:val="center"/>
          </w:tcPr>
          <w:p w14:paraId="36ABA900"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728FC4E2" w14:textId="77777777" w:rsidTr="00402F8F">
        <w:tc>
          <w:tcPr>
            <w:tcW w:w="368" w:type="pct"/>
            <w:shd w:val="clear" w:color="auto" w:fill="auto"/>
            <w:tcMar>
              <w:top w:w="0" w:type="dxa"/>
              <w:bottom w:w="0" w:type="dxa"/>
            </w:tcMar>
            <w:vAlign w:val="center"/>
          </w:tcPr>
          <w:p w14:paraId="1344D631"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12</w:t>
            </w:r>
          </w:p>
        </w:tc>
        <w:tc>
          <w:tcPr>
            <w:tcW w:w="2960" w:type="pct"/>
            <w:shd w:val="clear" w:color="auto" w:fill="auto"/>
            <w:tcMar>
              <w:top w:w="0" w:type="dxa"/>
              <w:bottom w:w="0" w:type="dxa"/>
            </w:tcMar>
            <w:vAlign w:val="center"/>
          </w:tcPr>
          <w:p w14:paraId="52D9C53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Total profit after tax for distribution in 2023 = (9)+(10)-(11)</w:t>
            </w:r>
          </w:p>
        </w:tc>
        <w:tc>
          <w:tcPr>
            <w:tcW w:w="1159" w:type="pct"/>
            <w:shd w:val="clear" w:color="auto" w:fill="auto"/>
            <w:tcMar>
              <w:top w:w="0" w:type="dxa"/>
              <w:bottom w:w="0" w:type="dxa"/>
            </w:tcMar>
            <w:vAlign w:val="center"/>
          </w:tcPr>
          <w:p w14:paraId="788BAA85" w14:textId="77777777"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2,120,301,445</w:t>
            </w:r>
          </w:p>
        </w:tc>
        <w:tc>
          <w:tcPr>
            <w:tcW w:w="513" w:type="pct"/>
            <w:shd w:val="clear" w:color="auto" w:fill="auto"/>
            <w:tcMar>
              <w:top w:w="0" w:type="dxa"/>
              <w:bottom w:w="0" w:type="dxa"/>
            </w:tcMar>
            <w:vAlign w:val="center"/>
          </w:tcPr>
          <w:p w14:paraId="2119B70A"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VND</w:t>
            </w:r>
          </w:p>
        </w:tc>
      </w:tr>
      <w:tr w:rsidR="00402F8F" w:rsidRPr="00402F8F" w14:paraId="13C3A6AD" w14:textId="77777777" w:rsidTr="00402F8F">
        <w:tc>
          <w:tcPr>
            <w:tcW w:w="368" w:type="pct"/>
            <w:shd w:val="clear" w:color="auto" w:fill="auto"/>
            <w:tcMar>
              <w:top w:w="0" w:type="dxa"/>
              <w:bottom w:w="0" w:type="dxa"/>
            </w:tcMar>
            <w:vAlign w:val="center"/>
          </w:tcPr>
          <w:p w14:paraId="10811288"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c>
          <w:tcPr>
            <w:tcW w:w="2960" w:type="pct"/>
            <w:shd w:val="clear" w:color="auto" w:fill="auto"/>
            <w:tcMar>
              <w:top w:w="0" w:type="dxa"/>
              <w:bottom w:w="0" w:type="dxa"/>
            </w:tcMar>
            <w:vAlign w:val="center"/>
          </w:tcPr>
          <w:p w14:paraId="42B0ABC5"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In which the expected appropriation is:</w:t>
            </w:r>
          </w:p>
        </w:tc>
        <w:tc>
          <w:tcPr>
            <w:tcW w:w="1159" w:type="pct"/>
            <w:shd w:val="clear" w:color="auto" w:fill="auto"/>
            <w:tcMar>
              <w:top w:w="0" w:type="dxa"/>
              <w:bottom w:w="0" w:type="dxa"/>
            </w:tcMar>
            <w:vAlign w:val="center"/>
          </w:tcPr>
          <w:p w14:paraId="23BB4B84" w14:textId="77777777" w:rsidR="00402F8F" w:rsidRPr="001E4B1C" w:rsidRDefault="00402F8F" w:rsidP="00AB5162">
            <w:pPr>
              <w:tabs>
                <w:tab w:val="left" w:pos="567"/>
              </w:tabs>
              <w:spacing w:after="120" w:line="360" w:lineRule="auto"/>
              <w:jc w:val="right"/>
              <w:rPr>
                <w:rFonts w:ascii="Arial" w:eastAsia="Arial" w:hAnsi="Arial" w:cs="Arial"/>
                <w:i/>
                <w:sz w:val="20"/>
                <w:szCs w:val="20"/>
              </w:rPr>
            </w:pPr>
          </w:p>
        </w:tc>
        <w:tc>
          <w:tcPr>
            <w:tcW w:w="513" w:type="pct"/>
            <w:shd w:val="clear" w:color="auto" w:fill="auto"/>
            <w:tcMar>
              <w:top w:w="0" w:type="dxa"/>
              <w:bottom w:w="0" w:type="dxa"/>
            </w:tcMar>
            <w:vAlign w:val="center"/>
          </w:tcPr>
          <w:p w14:paraId="634CC8E3"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r>
      <w:tr w:rsidR="00402F8F" w:rsidRPr="00402F8F" w14:paraId="1894C897" w14:textId="77777777" w:rsidTr="00402F8F">
        <w:tc>
          <w:tcPr>
            <w:tcW w:w="368" w:type="pct"/>
            <w:shd w:val="clear" w:color="auto" w:fill="auto"/>
            <w:tcMar>
              <w:top w:w="0" w:type="dxa"/>
              <w:bottom w:w="0" w:type="dxa"/>
            </w:tcMar>
            <w:vAlign w:val="center"/>
          </w:tcPr>
          <w:p w14:paraId="53DDF823"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c>
          <w:tcPr>
            <w:tcW w:w="2960" w:type="pct"/>
            <w:shd w:val="clear" w:color="auto" w:fill="auto"/>
            <w:tcMar>
              <w:top w:w="0" w:type="dxa"/>
              <w:bottom w:w="0" w:type="dxa"/>
            </w:tcMar>
            <w:vAlign w:val="center"/>
          </w:tcPr>
          <w:p w14:paraId="058546E3"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Investment and development fund</w:t>
            </w:r>
          </w:p>
        </w:tc>
        <w:tc>
          <w:tcPr>
            <w:tcW w:w="1159" w:type="pct"/>
            <w:shd w:val="clear" w:color="auto" w:fill="auto"/>
            <w:tcMar>
              <w:top w:w="0" w:type="dxa"/>
              <w:bottom w:w="0" w:type="dxa"/>
            </w:tcMar>
            <w:vAlign w:val="center"/>
          </w:tcPr>
          <w:p w14:paraId="5E29C5C8" w14:textId="77777777" w:rsidR="00402F8F" w:rsidRPr="001E4B1C"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i/>
                <w:sz w:val="20"/>
                <w:szCs w:val="20"/>
              </w:rPr>
            </w:pPr>
            <w:r w:rsidRPr="001E4B1C">
              <w:rPr>
                <w:rFonts w:ascii="Arial" w:hAnsi="Arial" w:cs="Arial"/>
                <w:i/>
                <w:sz w:val="20"/>
              </w:rPr>
              <w:t>602,256,228</w:t>
            </w:r>
          </w:p>
        </w:tc>
        <w:tc>
          <w:tcPr>
            <w:tcW w:w="513" w:type="pct"/>
            <w:shd w:val="clear" w:color="auto" w:fill="auto"/>
            <w:tcMar>
              <w:top w:w="0" w:type="dxa"/>
              <w:bottom w:w="0" w:type="dxa"/>
            </w:tcMar>
            <w:vAlign w:val="center"/>
          </w:tcPr>
          <w:p w14:paraId="03957ACD"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VND</w:t>
            </w:r>
          </w:p>
        </w:tc>
      </w:tr>
      <w:tr w:rsidR="00402F8F" w:rsidRPr="00402F8F" w14:paraId="05709AEA" w14:textId="77777777" w:rsidTr="00402F8F">
        <w:tc>
          <w:tcPr>
            <w:tcW w:w="368" w:type="pct"/>
            <w:shd w:val="clear" w:color="auto" w:fill="auto"/>
            <w:tcMar>
              <w:top w:w="0" w:type="dxa"/>
              <w:bottom w:w="0" w:type="dxa"/>
            </w:tcMar>
            <w:vAlign w:val="center"/>
          </w:tcPr>
          <w:p w14:paraId="1EE01296"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c>
          <w:tcPr>
            <w:tcW w:w="2960" w:type="pct"/>
            <w:shd w:val="clear" w:color="auto" w:fill="auto"/>
            <w:tcMar>
              <w:top w:w="0" w:type="dxa"/>
              <w:bottom w:w="0" w:type="dxa"/>
            </w:tcMar>
            <w:vAlign w:val="center"/>
          </w:tcPr>
          <w:p w14:paraId="1535D425"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Bonus and welfare fund (10% of profit after tax)</w:t>
            </w:r>
          </w:p>
        </w:tc>
        <w:tc>
          <w:tcPr>
            <w:tcW w:w="1159" w:type="pct"/>
            <w:shd w:val="clear" w:color="auto" w:fill="auto"/>
            <w:tcMar>
              <w:top w:w="0" w:type="dxa"/>
              <w:bottom w:w="0" w:type="dxa"/>
            </w:tcMar>
            <w:vAlign w:val="center"/>
          </w:tcPr>
          <w:p w14:paraId="37479D7C" w14:textId="46477B16" w:rsidR="00402F8F" w:rsidRPr="001E4B1C"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i/>
                <w:sz w:val="20"/>
                <w:szCs w:val="20"/>
              </w:rPr>
            </w:pPr>
            <w:r w:rsidRPr="001E4B1C">
              <w:rPr>
                <w:rFonts w:ascii="Arial" w:hAnsi="Arial" w:cs="Arial"/>
                <w:i/>
                <w:sz w:val="20"/>
              </w:rPr>
              <w:t>212,030,145</w:t>
            </w:r>
          </w:p>
        </w:tc>
        <w:tc>
          <w:tcPr>
            <w:tcW w:w="513" w:type="pct"/>
            <w:shd w:val="clear" w:color="auto" w:fill="auto"/>
            <w:tcMar>
              <w:top w:w="0" w:type="dxa"/>
              <w:bottom w:w="0" w:type="dxa"/>
            </w:tcMar>
          </w:tcPr>
          <w:p w14:paraId="51715FAF" w14:textId="547CC1DC"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VND</w:t>
            </w:r>
          </w:p>
        </w:tc>
      </w:tr>
      <w:tr w:rsidR="00402F8F" w:rsidRPr="00402F8F" w14:paraId="23F6E1DE" w14:textId="77777777" w:rsidTr="00402F8F">
        <w:tc>
          <w:tcPr>
            <w:tcW w:w="368" w:type="pct"/>
            <w:shd w:val="clear" w:color="auto" w:fill="auto"/>
            <w:tcMar>
              <w:top w:w="0" w:type="dxa"/>
              <w:bottom w:w="0" w:type="dxa"/>
            </w:tcMar>
            <w:vAlign w:val="center"/>
          </w:tcPr>
          <w:p w14:paraId="4BF3AA6B"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c>
          <w:tcPr>
            <w:tcW w:w="2960" w:type="pct"/>
            <w:shd w:val="clear" w:color="auto" w:fill="auto"/>
            <w:tcMar>
              <w:top w:w="0" w:type="dxa"/>
              <w:bottom w:w="0" w:type="dxa"/>
            </w:tcMar>
            <w:vAlign w:val="center"/>
          </w:tcPr>
          <w:p w14:paraId="5DDDB98A"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Dividend payment at the rate of 4% x Charter capital</w:t>
            </w:r>
          </w:p>
        </w:tc>
        <w:tc>
          <w:tcPr>
            <w:tcW w:w="1159" w:type="pct"/>
            <w:shd w:val="clear" w:color="auto" w:fill="auto"/>
            <w:tcMar>
              <w:top w:w="0" w:type="dxa"/>
              <w:bottom w:w="0" w:type="dxa"/>
            </w:tcMar>
            <w:vAlign w:val="center"/>
          </w:tcPr>
          <w:p w14:paraId="5DB63B60" w14:textId="3F49D44F" w:rsidR="00402F8F" w:rsidRPr="001E4B1C"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i/>
                <w:sz w:val="20"/>
                <w:szCs w:val="20"/>
              </w:rPr>
            </w:pPr>
            <w:r w:rsidRPr="001E4B1C">
              <w:rPr>
                <w:rFonts w:ascii="Arial" w:hAnsi="Arial" w:cs="Arial"/>
                <w:i/>
                <w:sz w:val="20"/>
              </w:rPr>
              <w:t>1,200,000,000</w:t>
            </w:r>
          </w:p>
        </w:tc>
        <w:tc>
          <w:tcPr>
            <w:tcW w:w="513" w:type="pct"/>
            <w:shd w:val="clear" w:color="auto" w:fill="auto"/>
            <w:tcMar>
              <w:top w:w="0" w:type="dxa"/>
              <w:bottom w:w="0" w:type="dxa"/>
            </w:tcMar>
          </w:tcPr>
          <w:p w14:paraId="3310BB86" w14:textId="5125ECBD"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VND</w:t>
            </w:r>
          </w:p>
        </w:tc>
      </w:tr>
      <w:tr w:rsidR="00402F8F" w:rsidRPr="00402F8F" w14:paraId="37BA2310" w14:textId="77777777" w:rsidTr="00402F8F">
        <w:tc>
          <w:tcPr>
            <w:tcW w:w="368" w:type="pct"/>
            <w:shd w:val="clear" w:color="auto" w:fill="auto"/>
            <w:tcMar>
              <w:top w:w="0" w:type="dxa"/>
              <w:bottom w:w="0" w:type="dxa"/>
            </w:tcMar>
            <w:vAlign w:val="center"/>
          </w:tcPr>
          <w:p w14:paraId="5143C17D" w14:textId="77777777" w:rsidR="00402F8F" w:rsidRPr="001E4B1C" w:rsidRDefault="00402F8F" w:rsidP="00402F8F">
            <w:pPr>
              <w:tabs>
                <w:tab w:val="left" w:pos="567"/>
              </w:tabs>
              <w:spacing w:after="120" w:line="360" w:lineRule="auto"/>
              <w:jc w:val="both"/>
              <w:rPr>
                <w:rFonts w:ascii="Arial" w:eastAsia="Arial" w:hAnsi="Arial" w:cs="Arial"/>
                <w:i/>
                <w:sz w:val="20"/>
                <w:szCs w:val="20"/>
              </w:rPr>
            </w:pPr>
          </w:p>
        </w:tc>
        <w:tc>
          <w:tcPr>
            <w:tcW w:w="2960" w:type="pct"/>
            <w:shd w:val="clear" w:color="auto" w:fill="auto"/>
            <w:tcMar>
              <w:top w:w="0" w:type="dxa"/>
              <w:bottom w:w="0" w:type="dxa"/>
            </w:tcMar>
            <w:vAlign w:val="center"/>
          </w:tcPr>
          <w:p w14:paraId="2F62A8F6" w14:textId="77777777"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Bonus fund for the Company's Board of Management (5% of profit after tax)</w:t>
            </w:r>
          </w:p>
        </w:tc>
        <w:tc>
          <w:tcPr>
            <w:tcW w:w="1159" w:type="pct"/>
            <w:shd w:val="clear" w:color="auto" w:fill="auto"/>
            <w:tcMar>
              <w:top w:w="0" w:type="dxa"/>
              <w:bottom w:w="0" w:type="dxa"/>
            </w:tcMar>
            <w:vAlign w:val="center"/>
          </w:tcPr>
          <w:p w14:paraId="3B9076AF" w14:textId="4EF6E015" w:rsidR="00402F8F" w:rsidRPr="001E4B1C"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i/>
                <w:sz w:val="20"/>
                <w:szCs w:val="20"/>
              </w:rPr>
            </w:pPr>
            <w:r w:rsidRPr="001E4B1C">
              <w:rPr>
                <w:rFonts w:ascii="Arial" w:hAnsi="Arial" w:cs="Arial"/>
                <w:i/>
                <w:sz w:val="20"/>
              </w:rPr>
              <w:t>106,015,072</w:t>
            </w:r>
          </w:p>
        </w:tc>
        <w:tc>
          <w:tcPr>
            <w:tcW w:w="513" w:type="pct"/>
            <w:shd w:val="clear" w:color="auto" w:fill="auto"/>
            <w:tcMar>
              <w:top w:w="0" w:type="dxa"/>
              <w:bottom w:w="0" w:type="dxa"/>
            </w:tcMar>
          </w:tcPr>
          <w:p w14:paraId="3025DDC9" w14:textId="36F7E401" w:rsidR="00402F8F" w:rsidRPr="001E4B1C"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i/>
                <w:sz w:val="20"/>
                <w:szCs w:val="20"/>
              </w:rPr>
            </w:pPr>
            <w:r w:rsidRPr="001E4B1C">
              <w:rPr>
                <w:rFonts w:ascii="Arial" w:hAnsi="Arial" w:cs="Arial"/>
                <w:i/>
                <w:sz w:val="20"/>
              </w:rPr>
              <w:t>VND</w:t>
            </w:r>
          </w:p>
        </w:tc>
      </w:tr>
      <w:tr w:rsidR="00402F8F" w:rsidRPr="00402F8F" w14:paraId="5460C18B" w14:textId="77777777" w:rsidTr="00402F8F">
        <w:tc>
          <w:tcPr>
            <w:tcW w:w="368" w:type="pct"/>
            <w:shd w:val="clear" w:color="auto" w:fill="auto"/>
            <w:tcMar>
              <w:top w:w="0" w:type="dxa"/>
              <w:bottom w:w="0" w:type="dxa"/>
            </w:tcMar>
            <w:vAlign w:val="center"/>
          </w:tcPr>
          <w:p w14:paraId="7ADFFBBE"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13</w:t>
            </w:r>
          </w:p>
        </w:tc>
        <w:tc>
          <w:tcPr>
            <w:tcW w:w="2960" w:type="pct"/>
            <w:shd w:val="clear" w:color="auto" w:fill="auto"/>
            <w:tcMar>
              <w:top w:w="0" w:type="dxa"/>
              <w:bottom w:w="0" w:type="dxa"/>
            </w:tcMar>
            <w:vAlign w:val="center"/>
          </w:tcPr>
          <w:p w14:paraId="7DC9AD8B"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Undistributed profit after tax accumulated as of the end of previous period.</w:t>
            </w:r>
          </w:p>
        </w:tc>
        <w:tc>
          <w:tcPr>
            <w:tcW w:w="1159" w:type="pct"/>
            <w:shd w:val="clear" w:color="auto" w:fill="auto"/>
            <w:tcMar>
              <w:top w:w="0" w:type="dxa"/>
              <w:bottom w:w="0" w:type="dxa"/>
            </w:tcMar>
            <w:vAlign w:val="center"/>
          </w:tcPr>
          <w:p w14:paraId="352F9278" w14:textId="2C33C50A"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53,732,116,354</w:t>
            </w:r>
          </w:p>
        </w:tc>
        <w:tc>
          <w:tcPr>
            <w:tcW w:w="513" w:type="pct"/>
            <w:shd w:val="clear" w:color="auto" w:fill="auto"/>
            <w:tcMar>
              <w:top w:w="0" w:type="dxa"/>
              <w:bottom w:w="0" w:type="dxa"/>
            </w:tcMar>
          </w:tcPr>
          <w:p w14:paraId="7D12C6C7" w14:textId="5EF2CFEE"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912F6">
              <w:rPr>
                <w:rFonts w:ascii="Arial" w:hAnsi="Arial" w:cs="Arial"/>
                <w:sz w:val="20"/>
              </w:rPr>
              <w:t>VND</w:t>
            </w:r>
          </w:p>
        </w:tc>
      </w:tr>
      <w:tr w:rsidR="00402F8F" w:rsidRPr="00402F8F" w14:paraId="3F30C9B8" w14:textId="77777777" w:rsidTr="00402F8F">
        <w:tc>
          <w:tcPr>
            <w:tcW w:w="368" w:type="pct"/>
            <w:shd w:val="clear" w:color="auto" w:fill="auto"/>
            <w:tcMar>
              <w:top w:w="0" w:type="dxa"/>
              <w:bottom w:w="0" w:type="dxa"/>
            </w:tcMar>
            <w:vAlign w:val="center"/>
          </w:tcPr>
          <w:p w14:paraId="1EEDD813"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14</w:t>
            </w:r>
          </w:p>
        </w:tc>
        <w:tc>
          <w:tcPr>
            <w:tcW w:w="2960" w:type="pct"/>
            <w:shd w:val="clear" w:color="auto" w:fill="auto"/>
            <w:tcMar>
              <w:top w:w="0" w:type="dxa"/>
              <w:bottom w:w="0" w:type="dxa"/>
            </w:tcMar>
            <w:vAlign w:val="center"/>
          </w:tcPr>
          <w:p w14:paraId="25871DEE" w14:textId="77777777"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Total accumulated undistributed profit after tax up to the end of this period (2023) = (11)+(13)</w:t>
            </w:r>
          </w:p>
        </w:tc>
        <w:tc>
          <w:tcPr>
            <w:tcW w:w="1159" w:type="pct"/>
            <w:shd w:val="clear" w:color="auto" w:fill="auto"/>
            <w:tcMar>
              <w:top w:w="0" w:type="dxa"/>
              <w:bottom w:w="0" w:type="dxa"/>
            </w:tcMar>
            <w:vAlign w:val="center"/>
          </w:tcPr>
          <w:p w14:paraId="083CA6C1" w14:textId="29EEEB65" w:rsidR="00402F8F" w:rsidRPr="00402F8F" w:rsidRDefault="00402F8F" w:rsidP="00AB516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402F8F">
              <w:rPr>
                <w:rFonts w:ascii="Arial" w:hAnsi="Arial" w:cs="Arial"/>
                <w:sz w:val="20"/>
              </w:rPr>
              <w:t>53,738,307,854</w:t>
            </w:r>
          </w:p>
        </w:tc>
        <w:tc>
          <w:tcPr>
            <w:tcW w:w="513" w:type="pct"/>
            <w:shd w:val="clear" w:color="auto" w:fill="auto"/>
            <w:tcMar>
              <w:top w:w="0" w:type="dxa"/>
              <w:bottom w:w="0" w:type="dxa"/>
            </w:tcMar>
          </w:tcPr>
          <w:p w14:paraId="19D5EEA4" w14:textId="241FC7F0" w:rsidR="00402F8F" w:rsidRPr="00402F8F" w:rsidRDefault="00402F8F"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912F6">
              <w:rPr>
                <w:rFonts w:ascii="Arial" w:hAnsi="Arial" w:cs="Arial"/>
                <w:sz w:val="20"/>
              </w:rPr>
              <w:t>VND</w:t>
            </w:r>
          </w:p>
        </w:tc>
      </w:tr>
    </w:tbl>
    <w:p w14:paraId="4DB75DE7"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4. Approve the Report on activities of the Supervisory Board in 2023.</w:t>
      </w:r>
    </w:p>
    <w:p w14:paraId="0E9A3A64"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5. Approve the list of independent audit companies to audit the Financial Statement 2024 of the Company.</w:t>
      </w:r>
    </w:p>
    <w:p w14:paraId="4DBECF24"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The General Meeting of Shareholders approves authorizing the Board of Directors to approve the list and decide on the independent audit company to audit the Company's Financial Statements 2024.</w:t>
      </w:r>
    </w:p>
    <w:p w14:paraId="2C1D767D"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6. Approve the operating budget settlement, remuneration fund of the Board of Directors and Supervisory Board in 2023; Remuneration fund of the Board of Directors and Supervisory Board in 2024:</w:t>
      </w:r>
    </w:p>
    <w:p w14:paraId="01576E29" w14:textId="77777777" w:rsidR="006B5311" w:rsidRPr="00402F8F" w:rsidRDefault="00701638" w:rsidP="003224BF">
      <w:pPr>
        <w:numPr>
          <w:ilvl w:val="1"/>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Settlement of the Remuneration Fund 2023 for the Board of Directors and Supervisory Board</w:t>
      </w:r>
    </w:p>
    <w:p w14:paraId="2F182CF8" w14:textId="7245F9EE"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(Unit: Thousand VND</w:t>
      </w:r>
      <w:r w:rsidR="00402F8F">
        <w:rPr>
          <w:rFonts w:ascii="Arial" w:hAnsi="Arial" w:cs="Arial"/>
          <w:sz w:val="20"/>
        </w:rPr>
        <w:t>)</w:t>
      </w:r>
    </w:p>
    <w:tbl>
      <w:tblPr>
        <w:tblStyle w:val="a0"/>
        <w:tblW w:w="5000" w:type="pct"/>
        <w:jc w:val="right"/>
        <w:tblLook w:val="0400" w:firstRow="0" w:lastRow="0" w:firstColumn="0" w:lastColumn="0" w:noHBand="0" w:noVBand="1"/>
      </w:tblPr>
      <w:tblGrid>
        <w:gridCol w:w="509"/>
        <w:gridCol w:w="3171"/>
        <w:gridCol w:w="1915"/>
        <w:gridCol w:w="1381"/>
        <w:gridCol w:w="1079"/>
        <w:gridCol w:w="985"/>
      </w:tblGrid>
      <w:tr w:rsidR="006B5311" w:rsidRPr="00402F8F" w14:paraId="349F7B4A" w14:textId="77777777" w:rsidTr="00701638">
        <w:trPr>
          <w:jc w:val="right"/>
        </w:trPr>
        <w:tc>
          <w:tcPr>
            <w:tcW w:w="281" w:type="pct"/>
            <w:vMerge w:val="restart"/>
            <w:tcBorders>
              <w:top w:val="single" w:sz="4" w:space="0" w:color="000000"/>
              <w:left w:val="single" w:sz="4" w:space="0" w:color="000000"/>
            </w:tcBorders>
            <w:shd w:val="clear" w:color="auto" w:fill="auto"/>
            <w:tcMar>
              <w:top w:w="0" w:type="dxa"/>
              <w:bottom w:w="0" w:type="dxa"/>
            </w:tcMar>
            <w:vAlign w:val="center"/>
          </w:tcPr>
          <w:p w14:paraId="4D81EFE6"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lastRenderedPageBreak/>
              <w:t>No.</w:t>
            </w:r>
          </w:p>
        </w:tc>
        <w:tc>
          <w:tcPr>
            <w:tcW w:w="1754" w:type="pct"/>
            <w:vMerge w:val="restart"/>
            <w:tcBorders>
              <w:top w:val="single" w:sz="4" w:space="0" w:color="000000"/>
              <w:left w:val="single" w:sz="4" w:space="0" w:color="000000"/>
            </w:tcBorders>
            <w:shd w:val="clear" w:color="auto" w:fill="auto"/>
            <w:tcMar>
              <w:top w:w="0" w:type="dxa"/>
              <w:bottom w:w="0" w:type="dxa"/>
            </w:tcMar>
            <w:vAlign w:val="center"/>
          </w:tcPr>
          <w:p w14:paraId="0CDD212D"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Position</w:t>
            </w:r>
          </w:p>
        </w:tc>
        <w:tc>
          <w:tcPr>
            <w:tcW w:w="105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4E6DED"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Number (person)</w:t>
            </w:r>
          </w:p>
        </w:tc>
        <w:tc>
          <w:tcPr>
            <w:tcW w:w="1361" w:type="pct"/>
            <w:gridSpan w:val="2"/>
            <w:tcBorders>
              <w:top w:val="single" w:sz="4" w:space="0" w:color="000000"/>
              <w:left w:val="single" w:sz="4" w:space="0" w:color="000000"/>
            </w:tcBorders>
            <w:shd w:val="clear" w:color="auto" w:fill="auto"/>
            <w:tcMar>
              <w:top w:w="0" w:type="dxa"/>
              <w:bottom w:w="0" w:type="dxa"/>
            </w:tcMar>
            <w:vAlign w:val="center"/>
          </w:tcPr>
          <w:p w14:paraId="4DDBE7E0"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Annual remuneration amount</w:t>
            </w:r>
          </w:p>
        </w:tc>
        <w:tc>
          <w:tcPr>
            <w:tcW w:w="54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5B60DC"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Note</w:t>
            </w:r>
          </w:p>
        </w:tc>
      </w:tr>
      <w:tr w:rsidR="006B5311" w:rsidRPr="00402F8F" w14:paraId="65E0DC4E" w14:textId="77777777" w:rsidTr="00701638">
        <w:trPr>
          <w:jc w:val="right"/>
        </w:trPr>
        <w:tc>
          <w:tcPr>
            <w:tcW w:w="281" w:type="pct"/>
            <w:vMerge/>
            <w:tcBorders>
              <w:top w:val="single" w:sz="4" w:space="0" w:color="000000"/>
              <w:left w:val="single" w:sz="4" w:space="0" w:color="000000"/>
            </w:tcBorders>
            <w:shd w:val="clear" w:color="auto" w:fill="auto"/>
            <w:tcMar>
              <w:top w:w="0" w:type="dxa"/>
              <w:bottom w:w="0" w:type="dxa"/>
            </w:tcMar>
            <w:vAlign w:val="center"/>
          </w:tcPr>
          <w:p w14:paraId="65499588" w14:textId="77777777" w:rsidR="006B5311" w:rsidRPr="00402F8F" w:rsidRDefault="006B5311"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c>
          <w:tcPr>
            <w:tcW w:w="1754" w:type="pct"/>
            <w:vMerge/>
            <w:tcBorders>
              <w:top w:val="single" w:sz="4" w:space="0" w:color="000000"/>
              <w:left w:val="single" w:sz="4" w:space="0" w:color="000000"/>
            </w:tcBorders>
            <w:shd w:val="clear" w:color="auto" w:fill="auto"/>
            <w:tcMar>
              <w:top w:w="0" w:type="dxa"/>
              <w:bottom w:w="0" w:type="dxa"/>
            </w:tcMar>
            <w:vAlign w:val="center"/>
          </w:tcPr>
          <w:p w14:paraId="52FA5F77" w14:textId="77777777" w:rsidR="006B5311" w:rsidRPr="00402F8F" w:rsidRDefault="006B5311"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c>
          <w:tcPr>
            <w:tcW w:w="105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2D48FF" w14:textId="77777777" w:rsidR="006B5311" w:rsidRPr="00402F8F" w:rsidRDefault="006B5311"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c>
          <w:tcPr>
            <w:tcW w:w="764" w:type="pct"/>
            <w:tcBorders>
              <w:top w:val="single" w:sz="4" w:space="0" w:color="000000"/>
              <w:left w:val="single" w:sz="4" w:space="0" w:color="000000"/>
            </w:tcBorders>
            <w:shd w:val="clear" w:color="auto" w:fill="auto"/>
            <w:tcMar>
              <w:top w:w="0" w:type="dxa"/>
              <w:bottom w:w="0" w:type="dxa"/>
            </w:tcMar>
            <w:vAlign w:val="center"/>
          </w:tcPr>
          <w:p w14:paraId="665646A3"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Planned figures</w:t>
            </w:r>
          </w:p>
        </w:tc>
        <w:tc>
          <w:tcPr>
            <w:tcW w:w="597" w:type="pct"/>
            <w:tcBorders>
              <w:top w:val="single" w:sz="4" w:space="0" w:color="000000"/>
              <w:left w:val="single" w:sz="4" w:space="0" w:color="000000"/>
            </w:tcBorders>
            <w:shd w:val="clear" w:color="auto" w:fill="auto"/>
            <w:tcMar>
              <w:top w:w="0" w:type="dxa"/>
              <w:bottom w:w="0" w:type="dxa"/>
            </w:tcMar>
            <w:vAlign w:val="center"/>
          </w:tcPr>
          <w:p w14:paraId="16E0B98D"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Result figures</w:t>
            </w:r>
          </w:p>
        </w:tc>
        <w:tc>
          <w:tcPr>
            <w:tcW w:w="54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3B2400" w14:textId="77777777" w:rsidR="006B5311" w:rsidRPr="00402F8F" w:rsidRDefault="006B5311"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r>
      <w:tr w:rsidR="006B5311" w:rsidRPr="00402F8F" w14:paraId="6395D067" w14:textId="77777777" w:rsidTr="00701638">
        <w:trPr>
          <w:jc w:val="right"/>
        </w:trPr>
        <w:tc>
          <w:tcPr>
            <w:tcW w:w="281" w:type="pct"/>
            <w:tcBorders>
              <w:top w:val="single" w:sz="4" w:space="0" w:color="000000"/>
              <w:left w:val="single" w:sz="4" w:space="0" w:color="000000"/>
            </w:tcBorders>
            <w:shd w:val="clear" w:color="auto" w:fill="auto"/>
            <w:tcMar>
              <w:top w:w="0" w:type="dxa"/>
              <w:bottom w:w="0" w:type="dxa"/>
            </w:tcMar>
            <w:vAlign w:val="center"/>
          </w:tcPr>
          <w:p w14:paraId="7E708109"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1</w:t>
            </w:r>
          </w:p>
        </w:tc>
        <w:tc>
          <w:tcPr>
            <w:tcW w:w="1754" w:type="pct"/>
            <w:tcBorders>
              <w:top w:val="single" w:sz="4" w:space="0" w:color="000000"/>
              <w:left w:val="single" w:sz="4" w:space="0" w:color="000000"/>
            </w:tcBorders>
            <w:shd w:val="clear" w:color="auto" w:fill="auto"/>
            <w:tcMar>
              <w:top w:w="0" w:type="dxa"/>
              <w:bottom w:w="0" w:type="dxa"/>
            </w:tcMar>
            <w:vAlign w:val="center"/>
          </w:tcPr>
          <w:p w14:paraId="3D133B45" w14:textId="77777777" w:rsidR="006B5311" w:rsidRPr="00402F8F" w:rsidRDefault="00701638" w:rsidP="00402F8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Chair of the Board of Directors</w:t>
            </w:r>
          </w:p>
        </w:tc>
        <w:tc>
          <w:tcPr>
            <w:tcW w:w="10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D5896E"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01</w:t>
            </w:r>
          </w:p>
        </w:tc>
        <w:tc>
          <w:tcPr>
            <w:tcW w:w="764" w:type="pct"/>
            <w:tcBorders>
              <w:top w:val="single" w:sz="4" w:space="0" w:color="000000"/>
              <w:left w:val="single" w:sz="4" w:space="0" w:color="000000"/>
            </w:tcBorders>
            <w:shd w:val="clear" w:color="auto" w:fill="auto"/>
            <w:tcMar>
              <w:top w:w="0" w:type="dxa"/>
              <w:bottom w:w="0" w:type="dxa"/>
            </w:tcMar>
            <w:vAlign w:val="center"/>
          </w:tcPr>
          <w:p w14:paraId="0C05FFC1"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48,000</w:t>
            </w:r>
          </w:p>
        </w:tc>
        <w:tc>
          <w:tcPr>
            <w:tcW w:w="597" w:type="pct"/>
            <w:tcBorders>
              <w:top w:val="single" w:sz="4" w:space="0" w:color="000000"/>
              <w:left w:val="single" w:sz="4" w:space="0" w:color="000000"/>
            </w:tcBorders>
            <w:shd w:val="clear" w:color="auto" w:fill="auto"/>
            <w:tcMar>
              <w:top w:w="0" w:type="dxa"/>
              <w:bottom w:w="0" w:type="dxa"/>
            </w:tcMar>
            <w:vAlign w:val="center"/>
          </w:tcPr>
          <w:p w14:paraId="5D314AD4"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48,000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109E4D" w14:textId="77777777" w:rsidR="006B5311" w:rsidRPr="00402F8F" w:rsidRDefault="006B5311" w:rsidP="00402F8F">
            <w:pPr>
              <w:tabs>
                <w:tab w:val="left" w:pos="567"/>
              </w:tabs>
              <w:spacing w:after="120" w:line="360" w:lineRule="auto"/>
              <w:rPr>
                <w:rFonts w:ascii="Arial" w:eastAsia="Arial" w:hAnsi="Arial" w:cs="Arial"/>
                <w:sz w:val="20"/>
                <w:szCs w:val="20"/>
              </w:rPr>
            </w:pPr>
          </w:p>
        </w:tc>
      </w:tr>
      <w:tr w:rsidR="006B5311" w:rsidRPr="00402F8F" w14:paraId="43E45CC7" w14:textId="77777777" w:rsidTr="00701638">
        <w:trPr>
          <w:jc w:val="right"/>
        </w:trPr>
        <w:tc>
          <w:tcPr>
            <w:tcW w:w="281" w:type="pct"/>
            <w:tcBorders>
              <w:top w:val="single" w:sz="4" w:space="0" w:color="000000"/>
              <w:left w:val="single" w:sz="4" w:space="0" w:color="000000"/>
            </w:tcBorders>
            <w:shd w:val="clear" w:color="auto" w:fill="auto"/>
            <w:tcMar>
              <w:top w:w="0" w:type="dxa"/>
              <w:bottom w:w="0" w:type="dxa"/>
            </w:tcMar>
            <w:vAlign w:val="center"/>
          </w:tcPr>
          <w:p w14:paraId="0568F6DC"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2</w:t>
            </w:r>
          </w:p>
        </w:tc>
        <w:tc>
          <w:tcPr>
            <w:tcW w:w="1754" w:type="pct"/>
            <w:tcBorders>
              <w:top w:val="single" w:sz="4" w:space="0" w:color="000000"/>
              <w:left w:val="single" w:sz="4" w:space="0" w:color="000000"/>
            </w:tcBorders>
            <w:shd w:val="clear" w:color="auto" w:fill="auto"/>
            <w:tcMar>
              <w:top w:w="0" w:type="dxa"/>
              <w:bottom w:w="0" w:type="dxa"/>
            </w:tcMar>
            <w:vAlign w:val="center"/>
          </w:tcPr>
          <w:p w14:paraId="26D2F791"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Non-executive member of the Board of Directors</w:t>
            </w:r>
          </w:p>
        </w:tc>
        <w:tc>
          <w:tcPr>
            <w:tcW w:w="10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703E83"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04</w:t>
            </w:r>
          </w:p>
        </w:tc>
        <w:tc>
          <w:tcPr>
            <w:tcW w:w="764" w:type="pct"/>
            <w:tcBorders>
              <w:top w:val="single" w:sz="4" w:space="0" w:color="000000"/>
              <w:left w:val="single" w:sz="4" w:space="0" w:color="000000"/>
            </w:tcBorders>
            <w:shd w:val="clear" w:color="auto" w:fill="auto"/>
            <w:tcMar>
              <w:top w:w="0" w:type="dxa"/>
              <w:bottom w:w="0" w:type="dxa"/>
            </w:tcMar>
            <w:vAlign w:val="center"/>
          </w:tcPr>
          <w:p w14:paraId="1B1AC9FC"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144,000</w:t>
            </w:r>
          </w:p>
        </w:tc>
        <w:tc>
          <w:tcPr>
            <w:tcW w:w="597" w:type="pct"/>
            <w:tcBorders>
              <w:top w:val="single" w:sz="4" w:space="0" w:color="000000"/>
              <w:left w:val="single" w:sz="4" w:space="0" w:color="000000"/>
            </w:tcBorders>
            <w:shd w:val="clear" w:color="auto" w:fill="auto"/>
            <w:tcMar>
              <w:top w:w="0" w:type="dxa"/>
              <w:bottom w:w="0" w:type="dxa"/>
            </w:tcMar>
            <w:vAlign w:val="center"/>
          </w:tcPr>
          <w:p w14:paraId="6DC38A55"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144,000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9ECB28" w14:textId="77777777" w:rsidR="006B5311" w:rsidRPr="00402F8F" w:rsidRDefault="006B5311" w:rsidP="00402F8F">
            <w:pPr>
              <w:tabs>
                <w:tab w:val="left" w:pos="567"/>
              </w:tabs>
              <w:spacing w:after="120" w:line="360" w:lineRule="auto"/>
              <w:rPr>
                <w:rFonts w:ascii="Arial" w:eastAsia="Arial" w:hAnsi="Arial" w:cs="Arial"/>
                <w:sz w:val="20"/>
                <w:szCs w:val="20"/>
              </w:rPr>
            </w:pPr>
          </w:p>
        </w:tc>
      </w:tr>
      <w:tr w:rsidR="006B5311" w:rsidRPr="00402F8F" w14:paraId="5822AC04" w14:textId="77777777" w:rsidTr="00701638">
        <w:trPr>
          <w:jc w:val="right"/>
        </w:trPr>
        <w:tc>
          <w:tcPr>
            <w:tcW w:w="281" w:type="pct"/>
            <w:tcBorders>
              <w:top w:val="single" w:sz="4" w:space="0" w:color="000000"/>
              <w:left w:val="single" w:sz="4" w:space="0" w:color="000000"/>
            </w:tcBorders>
            <w:shd w:val="clear" w:color="auto" w:fill="auto"/>
            <w:tcMar>
              <w:top w:w="0" w:type="dxa"/>
              <w:bottom w:w="0" w:type="dxa"/>
            </w:tcMar>
            <w:vAlign w:val="center"/>
          </w:tcPr>
          <w:p w14:paraId="2AC80E52"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3</w:t>
            </w:r>
          </w:p>
        </w:tc>
        <w:tc>
          <w:tcPr>
            <w:tcW w:w="1754" w:type="pct"/>
            <w:tcBorders>
              <w:top w:val="single" w:sz="4" w:space="0" w:color="000000"/>
              <w:left w:val="single" w:sz="4" w:space="0" w:color="000000"/>
            </w:tcBorders>
            <w:shd w:val="clear" w:color="auto" w:fill="auto"/>
            <w:tcMar>
              <w:top w:w="0" w:type="dxa"/>
              <w:bottom w:w="0" w:type="dxa"/>
            </w:tcMar>
            <w:vAlign w:val="center"/>
          </w:tcPr>
          <w:p w14:paraId="57DA1E6E"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Non-executive member of the Supervisory Board</w:t>
            </w:r>
          </w:p>
        </w:tc>
        <w:tc>
          <w:tcPr>
            <w:tcW w:w="10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CE361A"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02</w:t>
            </w:r>
          </w:p>
        </w:tc>
        <w:tc>
          <w:tcPr>
            <w:tcW w:w="764" w:type="pct"/>
            <w:tcBorders>
              <w:top w:val="single" w:sz="4" w:space="0" w:color="000000"/>
              <w:left w:val="single" w:sz="4" w:space="0" w:color="000000"/>
            </w:tcBorders>
            <w:shd w:val="clear" w:color="auto" w:fill="auto"/>
            <w:tcMar>
              <w:top w:w="0" w:type="dxa"/>
              <w:bottom w:w="0" w:type="dxa"/>
            </w:tcMar>
            <w:vAlign w:val="center"/>
          </w:tcPr>
          <w:p w14:paraId="32FE82F9"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36,000</w:t>
            </w:r>
          </w:p>
        </w:tc>
        <w:tc>
          <w:tcPr>
            <w:tcW w:w="597" w:type="pct"/>
            <w:tcBorders>
              <w:top w:val="single" w:sz="4" w:space="0" w:color="000000"/>
              <w:left w:val="single" w:sz="4" w:space="0" w:color="000000"/>
            </w:tcBorders>
            <w:shd w:val="clear" w:color="auto" w:fill="auto"/>
            <w:tcMar>
              <w:top w:w="0" w:type="dxa"/>
              <w:bottom w:w="0" w:type="dxa"/>
            </w:tcMar>
            <w:vAlign w:val="center"/>
          </w:tcPr>
          <w:p w14:paraId="68F36A23"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36,000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3BBF31" w14:textId="77777777" w:rsidR="006B5311" w:rsidRPr="00402F8F" w:rsidRDefault="006B5311" w:rsidP="00402F8F">
            <w:pPr>
              <w:tabs>
                <w:tab w:val="left" w:pos="567"/>
              </w:tabs>
              <w:spacing w:after="120" w:line="360" w:lineRule="auto"/>
              <w:rPr>
                <w:rFonts w:ascii="Arial" w:eastAsia="Arial" w:hAnsi="Arial" w:cs="Arial"/>
                <w:sz w:val="20"/>
                <w:szCs w:val="20"/>
              </w:rPr>
            </w:pPr>
          </w:p>
        </w:tc>
      </w:tr>
      <w:tr w:rsidR="006B5311" w:rsidRPr="00402F8F" w14:paraId="51BFBADE" w14:textId="77777777" w:rsidTr="00701638">
        <w:trPr>
          <w:jc w:val="right"/>
        </w:trPr>
        <w:tc>
          <w:tcPr>
            <w:tcW w:w="281" w:type="pct"/>
            <w:tcBorders>
              <w:top w:val="single" w:sz="4" w:space="0" w:color="000000"/>
              <w:left w:val="single" w:sz="4" w:space="0" w:color="000000"/>
            </w:tcBorders>
            <w:shd w:val="clear" w:color="auto" w:fill="auto"/>
            <w:tcMar>
              <w:top w:w="0" w:type="dxa"/>
              <w:bottom w:w="0" w:type="dxa"/>
            </w:tcMar>
            <w:vAlign w:val="center"/>
          </w:tcPr>
          <w:p w14:paraId="452E00E6"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4</w:t>
            </w:r>
          </w:p>
        </w:tc>
        <w:tc>
          <w:tcPr>
            <w:tcW w:w="1754" w:type="pct"/>
            <w:tcBorders>
              <w:top w:val="single" w:sz="4" w:space="0" w:color="000000"/>
              <w:left w:val="single" w:sz="4" w:space="0" w:color="000000"/>
            </w:tcBorders>
            <w:shd w:val="clear" w:color="auto" w:fill="auto"/>
            <w:tcMar>
              <w:top w:w="0" w:type="dxa"/>
              <w:bottom w:w="0" w:type="dxa"/>
            </w:tcMar>
            <w:vAlign w:val="center"/>
          </w:tcPr>
          <w:p w14:paraId="10E56388"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Non-executive Secretariat of the Board of Directors</w:t>
            </w:r>
          </w:p>
        </w:tc>
        <w:tc>
          <w:tcPr>
            <w:tcW w:w="10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280211"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01</w:t>
            </w:r>
          </w:p>
        </w:tc>
        <w:tc>
          <w:tcPr>
            <w:tcW w:w="764" w:type="pct"/>
            <w:tcBorders>
              <w:top w:val="single" w:sz="4" w:space="0" w:color="000000"/>
              <w:left w:val="single" w:sz="4" w:space="0" w:color="000000"/>
            </w:tcBorders>
            <w:shd w:val="clear" w:color="auto" w:fill="auto"/>
            <w:tcMar>
              <w:top w:w="0" w:type="dxa"/>
              <w:bottom w:w="0" w:type="dxa"/>
            </w:tcMar>
            <w:vAlign w:val="center"/>
          </w:tcPr>
          <w:p w14:paraId="58E41FB7"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18,000</w:t>
            </w:r>
          </w:p>
        </w:tc>
        <w:tc>
          <w:tcPr>
            <w:tcW w:w="597" w:type="pct"/>
            <w:tcBorders>
              <w:top w:val="single" w:sz="4" w:space="0" w:color="000000"/>
              <w:left w:val="single" w:sz="4" w:space="0" w:color="000000"/>
            </w:tcBorders>
            <w:shd w:val="clear" w:color="auto" w:fill="auto"/>
            <w:tcMar>
              <w:top w:w="0" w:type="dxa"/>
              <w:bottom w:w="0" w:type="dxa"/>
            </w:tcMar>
            <w:vAlign w:val="center"/>
          </w:tcPr>
          <w:p w14:paraId="42A18BA4"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18,000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76FC74" w14:textId="77777777" w:rsidR="006B5311" w:rsidRPr="00402F8F" w:rsidRDefault="006B5311" w:rsidP="00402F8F">
            <w:pPr>
              <w:tabs>
                <w:tab w:val="left" w:pos="567"/>
              </w:tabs>
              <w:spacing w:after="120" w:line="360" w:lineRule="auto"/>
              <w:rPr>
                <w:rFonts w:ascii="Arial" w:eastAsia="Arial" w:hAnsi="Arial" w:cs="Arial"/>
                <w:sz w:val="20"/>
                <w:szCs w:val="20"/>
              </w:rPr>
            </w:pPr>
          </w:p>
        </w:tc>
      </w:tr>
      <w:tr w:rsidR="006B5311" w:rsidRPr="00402F8F" w14:paraId="1E2AD474" w14:textId="77777777" w:rsidTr="00701638">
        <w:trPr>
          <w:jc w:val="right"/>
        </w:trPr>
        <w:tc>
          <w:tcPr>
            <w:tcW w:w="281" w:type="pct"/>
            <w:tcBorders>
              <w:top w:val="single" w:sz="4" w:space="0" w:color="000000"/>
              <w:left w:val="single" w:sz="4" w:space="0" w:color="000000"/>
            </w:tcBorders>
            <w:shd w:val="clear" w:color="auto" w:fill="auto"/>
            <w:tcMar>
              <w:top w:w="0" w:type="dxa"/>
              <w:bottom w:w="0" w:type="dxa"/>
            </w:tcMar>
            <w:vAlign w:val="center"/>
          </w:tcPr>
          <w:p w14:paraId="4370B07D"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5</w:t>
            </w:r>
          </w:p>
        </w:tc>
        <w:tc>
          <w:tcPr>
            <w:tcW w:w="1754" w:type="pct"/>
            <w:tcBorders>
              <w:top w:val="single" w:sz="4" w:space="0" w:color="000000"/>
              <w:left w:val="single" w:sz="4" w:space="0" w:color="000000"/>
            </w:tcBorders>
            <w:shd w:val="clear" w:color="auto" w:fill="auto"/>
            <w:tcMar>
              <w:top w:w="0" w:type="dxa"/>
              <w:bottom w:w="0" w:type="dxa"/>
            </w:tcMar>
            <w:vAlign w:val="center"/>
          </w:tcPr>
          <w:p w14:paraId="552F7D15"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Non-executive assistants of the Board of Directors</w:t>
            </w:r>
          </w:p>
        </w:tc>
        <w:tc>
          <w:tcPr>
            <w:tcW w:w="105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DE6805"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02</w:t>
            </w:r>
          </w:p>
        </w:tc>
        <w:tc>
          <w:tcPr>
            <w:tcW w:w="764" w:type="pct"/>
            <w:tcBorders>
              <w:top w:val="single" w:sz="4" w:space="0" w:color="000000"/>
              <w:left w:val="single" w:sz="4" w:space="0" w:color="000000"/>
            </w:tcBorders>
            <w:shd w:val="clear" w:color="auto" w:fill="auto"/>
            <w:tcMar>
              <w:top w:w="0" w:type="dxa"/>
              <w:bottom w:w="0" w:type="dxa"/>
            </w:tcMar>
            <w:vAlign w:val="center"/>
          </w:tcPr>
          <w:p w14:paraId="0449560C"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19,200</w:t>
            </w:r>
          </w:p>
        </w:tc>
        <w:tc>
          <w:tcPr>
            <w:tcW w:w="597" w:type="pct"/>
            <w:tcBorders>
              <w:top w:val="single" w:sz="4" w:space="0" w:color="000000"/>
              <w:left w:val="single" w:sz="4" w:space="0" w:color="000000"/>
            </w:tcBorders>
            <w:shd w:val="clear" w:color="auto" w:fill="auto"/>
            <w:tcMar>
              <w:top w:w="0" w:type="dxa"/>
              <w:bottom w:w="0" w:type="dxa"/>
            </w:tcMar>
            <w:vAlign w:val="center"/>
          </w:tcPr>
          <w:p w14:paraId="0C76AFC1"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19,200</w:t>
            </w:r>
          </w:p>
        </w:tc>
        <w:tc>
          <w:tcPr>
            <w:tcW w:w="5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4124BA" w14:textId="77777777" w:rsidR="006B5311" w:rsidRPr="00402F8F" w:rsidRDefault="006B5311" w:rsidP="00402F8F">
            <w:pPr>
              <w:tabs>
                <w:tab w:val="left" w:pos="567"/>
              </w:tabs>
              <w:spacing w:after="120" w:line="360" w:lineRule="auto"/>
              <w:rPr>
                <w:rFonts w:ascii="Arial" w:eastAsia="Arial" w:hAnsi="Arial" w:cs="Arial"/>
                <w:sz w:val="20"/>
                <w:szCs w:val="20"/>
              </w:rPr>
            </w:pPr>
          </w:p>
        </w:tc>
      </w:tr>
      <w:tr w:rsidR="006B5311" w:rsidRPr="00402F8F" w14:paraId="2805145D" w14:textId="77777777" w:rsidTr="00701638">
        <w:trPr>
          <w:jc w:val="right"/>
        </w:trPr>
        <w:tc>
          <w:tcPr>
            <w:tcW w:w="2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253AA8" w14:textId="77777777" w:rsidR="006B5311" w:rsidRPr="00402F8F" w:rsidRDefault="006B5311" w:rsidP="00402F8F">
            <w:pPr>
              <w:tabs>
                <w:tab w:val="left" w:pos="567"/>
              </w:tabs>
              <w:spacing w:after="120" w:line="360" w:lineRule="auto"/>
              <w:rPr>
                <w:rFonts w:ascii="Arial" w:eastAsia="Arial" w:hAnsi="Arial" w:cs="Arial"/>
                <w:sz w:val="20"/>
                <w:szCs w:val="20"/>
              </w:rPr>
            </w:pPr>
          </w:p>
        </w:tc>
        <w:tc>
          <w:tcPr>
            <w:tcW w:w="1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483B09" w14:textId="77777777" w:rsidR="006B5311" w:rsidRPr="00402F8F" w:rsidRDefault="00701638"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Total</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0DB9C9" w14:textId="77777777" w:rsidR="006B5311" w:rsidRPr="00402F8F" w:rsidRDefault="006B5311"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p>
        </w:tc>
        <w:tc>
          <w:tcPr>
            <w:tcW w:w="7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D350E"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265,200</w:t>
            </w:r>
          </w:p>
        </w:tc>
        <w:tc>
          <w:tcPr>
            <w:tcW w:w="5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09162F" w14:textId="77777777" w:rsidR="006B5311" w:rsidRPr="00402F8F" w:rsidRDefault="00701638"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265,200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A4B01C" w14:textId="77777777" w:rsidR="006B5311" w:rsidRPr="00402F8F" w:rsidRDefault="006B5311" w:rsidP="00402F8F">
            <w:pPr>
              <w:tabs>
                <w:tab w:val="left" w:pos="567"/>
              </w:tabs>
              <w:spacing w:after="120" w:line="360" w:lineRule="auto"/>
              <w:rPr>
                <w:rFonts w:ascii="Arial" w:eastAsia="Arial" w:hAnsi="Arial" w:cs="Arial"/>
                <w:sz w:val="20"/>
                <w:szCs w:val="20"/>
              </w:rPr>
            </w:pPr>
          </w:p>
        </w:tc>
      </w:tr>
    </w:tbl>
    <w:p w14:paraId="65EB06BB" w14:textId="77777777" w:rsidR="006B5311" w:rsidRPr="00402F8F" w:rsidRDefault="00701638" w:rsidP="003224BF">
      <w:pPr>
        <w:numPr>
          <w:ilvl w:val="1"/>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Remuneration fund for the Board of Directors and Supervisory Board in 2024:</w:t>
      </w:r>
    </w:p>
    <w:p w14:paraId="046E10B3" w14:textId="77777777" w:rsidR="006B5311" w:rsidRPr="00402F8F" w:rsidRDefault="00701638" w:rsidP="003224BF">
      <w:pPr>
        <w:numPr>
          <w:ilvl w:val="2"/>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Basis for determining the remuneration level of the Board of Directors and Supervisory Board in 2024: Number of members of the Board of Directors and Supervisory Board for the term 2020-2025.</w:t>
      </w:r>
    </w:p>
    <w:p w14:paraId="0D835190" w14:textId="77777777" w:rsidR="006B5311" w:rsidRPr="00402F8F" w:rsidRDefault="00701638" w:rsidP="003224BF">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 xml:space="preserve">Orientation and targets of the 2024 business plan approved by the General Meeting of Shareholders. </w:t>
      </w:r>
    </w:p>
    <w:p w14:paraId="01DCAD13" w14:textId="77777777" w:rsidR="006B5311" w:rsidRPr="00402F8F" w:rsidRDefault="00701638" w:rsidP="003224BF">
      <w:pPr>
        <w:numPr>
          <w:ilvl w:val="2"/>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Proposed remuneration for the Board of Directors and Supervisory Board in 2024:</w:t>
      </w:r>
    </w:p>
    <w:p w14:paraId="09E86861"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The Board of Directors proposes the General Meeting of Shareholders to approve the remuneration for the Board of Directors and Supervisory Board in 2024 at the same level as implemented in 2023 as follows:</w:t>
      </w:r>
    </w:p>
    <w:p w14:paraId="33F906BE" w14:textId="77777777" w:rsidR="006B5311" w:rsidRPr="00402F8F" w:rsidRDefault="00701638" w:rsidP="003224BF">
      <w:pPr>
        <w:numPr>
          <w:ilvl w:val="0"/>
          <w:numId w:val="6"/>
        </w:numPr>
        <w:pBdr>
          <w:top w:val="nil"/>
          <w:left w:val="nil"/>
          <w:bottom w:val="nil"/>
          <w:right w:val="nil"/>
          <w:between w:val="nil"/>
        </w:pBdr>
        <w:tabs>
          <w:tab w:val="left" w:pos="567"/>
          <w:tab w:val="left" w:pos="1283"/>
        </w:tabs>
        <w:spacing w:after="120" w:line="360" w:lineRule="auto"/>
        <w:jc w:val="both"/>
        <w:rPr>
          <w:rFonts w:ascii="Arial" w:eastAsia="Arial" w:hAnsi="Arial" w:cs="Arial"/>
          <w:sz w:val="20"/>
          <w:szCs w:val="20"/>
        </w:rPr>
      </w:pPr>
      <w:r w:rsidRPr="00402F8F">
        <w:rPr>
          <w:rFonts w:ascii="Arial" w:hAnsi="Arial" w:cs="Arial"/>
          <w:sz w:val="20"/>
        </w:rPr>
        <w:t>For concurrent part-time members of the Board of Directors, Board of Directors assistants and Supervisory Board members, the following remuneration levels apply:</w:t>
      </w:r>
    </w:p>
    <w:p w14:paraId="738465A7" w14:textId="77777777" w:rsidR="006B5311" w:rsidRPr="00402F8F" w:rsidRDefault="00701638" w:rsidP="003224BF">
      <w:pPr>
        <w:numPr>
          <w:ilvl w:val="0"/>
          <w:numId w:val="2"/>
        </w:numPr>
        <w:pBdr>
          <w:top w:val="nil"/>
          <w:left w:val="nil"/>
          <w:bottom w:val="nil"/>
          <w:right w:val="nil"/>
          <w:between w:val="nil"/>
        </w:pBdr>
        <w:tabs>
          <w:tab w:val="left" w:pos="567"/>
          <w:tab w:val="left" w:pos="6087"/>
        </w:tabs>
        <w:spacing w:after="120" w:line="360" w:lineRule="auto"/>
        <w:ind w:left="0" w:firstLine="0"/>
        <w:jc w:val="both"/>
        <w:rPr>
          <w:rFonts w:ascii="Arial" w:eastAsia="Arial" w:hAnsi="Arial" w:cs="Arial"/>
          <w:sz w:val="20"/>
          <w:szCs w:val="20"/>
        </w:rPr>
      </w:pPr>
      <w:r w:rsidRPr="00402F8F">
        <w:rPr>
          <w:rFonts w:ascii="Arial" w:hAnsi="Arial" w:cs="Arial"/>
          <w:sz w:val="20"/>
        </w:rPr>
        <w:t>Non-executive Chair of the Board of Directors VND 4,000,000/month</w:t>
      </w:r>
    </w:p>
    <w:p w14:paraId="393CA2EE" w14:textId="77777777" w:rsidR="006B5311" w:rsidRPr="00402F8F" w:rsidRDefault="00701638" w:rsidP="003224BF">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Non-executive member of the Board of Directors VND 3,000,000/month</w:t>
      </w:r>
    </w:p>
    <w:p w14:paraId="66434BDE" w14:textId="77777777" w:rsidR="006B5311" w:rsidRPr="00402F8F" w:rsidRDefault="00701638" w:rsidP="003224BF">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Non-executive member of the Supervisory Board: VND 1,500,000/month</w:t>
      </w:r>
    </w:p>
    <w:p w14:paraId="3EC26176" w14:textId="30F6AAA4" w:rsidR="006B5311" w:rsidRPr="00402F8F" w:rsidRDefault="00701638" w:rsidP="003224BF">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402F8F">
        <w:rPr>
          <w:rFonts w:ascii="Arial" w:hAnsi="Arial" w:cs="Arial"/>
          <w:sz w:val="20"/>
        </w:rPr>
        <w:t>Non-executive Secretariat of the Board of Directors</w:t>
      </w:r>
      <w:r w:rsidR="0069012C">
        <w:rPr>
          <w:rFonts w:ascii="Arial" w:hAnsi="Arial" w:cs="Arial"/>
          <w:sz w:val="20"/>
        </w:rPr>
        <w:t>:</w:t>
      </w:r>
      <w:r w:rsidRPr="00402F8F">
        <w:rPr>
          <w:rFonts w:ascii="Arial" w:hAnsi="Arial" w:cs="Arial"/>
          <w:sz w:val="20"/>
        </w:rPr>
        <w:t xml:space="preserve"> VND 1,500,000/month</w:t>
      </w:r>
    </w:p>
    <w:p w14:paraId="4221AF3A" w14:textId="01FD2C47" w:rsidR="006B5311" w:rsidRPr="00402F8F" w:rsidRDefault="00701638" w:rsidP="003224BF">
      <w:pPr>
        <w:numPr>
          <w:ilvl w:val="0"/>
          <w:numId w:val="2"/>
        </w:numPr>
        <w:pBdr>
          <w:top w:val="nil"/>
          <w:left w:val="nil"/>
          <w:bottom w:val="nil"/>
          <w:right w:val="nil"/>
          <w:between w:val="nil"/>
        </w:pBdr>
        <w:tabs>
          <w:tab w:val="left" w:pos="567"/>
          <w:tab w:val="left" w:pos="6087"/>
        </w:tabs>
        <w:spacing w:after="120" w:line="360" w:lineRule="auto"/>
        <w:ind w:left="0" w:firstLine="0"/>
        <w:jc w:val="both"/>
        <w:rPr>
          <w:rFonts w:ascii="Arial" w:eastAsia="Arial" w:hAnsi="Arial" w:cs="Arial"/>
          <w:sz w:val="20"/>
          <w:szCs w:val="20"/>
        </w:rPr>
      </w:pPr>
      <w:r w:rsidRPr="00402F8F">
        <w:rPr>
          <w:rFonts w:ascii="Arial" w:hAnsi="Arial" w:cs="Arial"/>
          <w:sz w:val="20"/>
        </w:rPr>
        <w:t>Assistants of the Board of Directors</w:t>
      </w:r>
      <w:r w:rsidR="0069012C">
        <w:rPr>
          <w:rFonts w:ascii="Arial" w:hAnsi="Arial" w:cs="Arial"/>
          <w:sz w:val="20"/>
        </w:rPr>
        <w:t>:</w:t>
      </w:r>
      <w:r w:rsidRPr="00402F8F">
        <w:rPr>
          <w:rFonts w:ascii="Arial" w:hAnsi="Arial" w:cs="Arial"/>
          <w:sz w:val="20"/>
        </w:rPr>
        <w:t xml:space="preserve"> VND 800,000/month</w:t>
      </w:r>
    </w:p>
    <w:p w14:paraId="214C293A" w14:textId="77777777" w:rsidR="006B5311" w:rsidRPr="00402F8F" w:rsidRDefault="00701638" w:rsidP="003224BF">
      <w:pPr>
        <w:numPr>
          <w:ilvl w:val="0"/>
          <w:numId w:val="6"/>
        </w:numPr>
        <w:pBdr>
          <w:top w:val="nil"/>
          <w:left w:val="nil"/>
          <w:bottom w:val="nil"/>
          <w:right w:val="nil"/>
          <w:between w:val="nil"/>
        </w:pBdr>
        <w:tabs>
          <w:tab w:val="left" w:pos="567"/>
          <w:tab w:val="left" w:pos="1290"/>
        </w:tabs>
        <w:spacing w:after="120" w:line="360" w:lineRule="auto"/>
        <w:jc w:val="both"/>
        <w:rPr>
          <w:rFonts w:ascii="Arial" w:eastAsia="Arial" w:hAnsi="Arial" w:cs="Arial"/>
          <w:sz w:val="20"/>
          <w:szCs w:val="20"/>
        </w:rPr>
      </w:pPr>
      <w:r w:rsidRPr="00402F8F">
        <w:rPr>
          <w:rFonts w:ascii="Arial" w:hAnsi="Arial" w:cs="Arial"/>
          <w:sz w:val="20"/>
        </w:rPr>
        <w:t>For full-time members of the Board of Directors and Supervisory Board regularly working at the company, remuneration shall be paid according to the company's salary and bonus regulations.</w:t>
      </w:r>
    </w:p>
    <w:p w14:paraId="01D651CB"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7. Approve the plan to distribute the profit after tax generated from t</w:t>
      </w:r>
      <w:bookmarkStart w:id="0" w:name="_GoBack"/>
      <w:bookmarkEnd w:id="0"/>
      <w:r w:rsidRPr="00402F8F">
        <w:rPr>
          <w:rFonts w:ascii="Arial" w:hAnsi="Arial" w:cs="Arial"/>
          <w:sz w:val="20"/>
        </w:rPr>
        <w:t xml:space="preserve">he investment properties of </w:t>
      </w:r>
      <w:r w:rsidRPr="00402F8F">
        <w:rPr>
          <w:rFonts w:ascii="Arial" w:hAnsi="Arial" w:cs="Arial"/>
          <w:sz w:val="20"/>
        </w:rPr>
        <w:lastRenderedPageBreak/>
        <w:t>Hanoi Food Import-Export Joint Stock Company:</w:t>
      </w:r>
    </w:p>
    <w:p w14:paraId="160C834F" w14:textId="45D436F0"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The plan to distribute the profit after tax generated from recognizing the remaining value of real estate received from business cooperation contracts and the value of capital contribution by the advantage of real estate exploitation to VNF1 Food Packaging Joint Stock Company is as follows:</w:t>
      </w:r>
    </w:p>
    <w:p w14:paraId="791627C5"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Annual dividend payment (6%/charter capital/year) equivalent to VND 1.8 billion starting from 2024, independent of business results. After 05 years, this dividend rate will be considered for adjustment based on the actual revenue generated from the exploitation of the Company's assets.</w:t>
      </w:r>
    </w:p>
    <w:p w14:paraId="620098A4"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With 100% of votes in favor; 0% against and 0% with other opinions.</w:t>
      </w:r>
    </w:p>
    <w:p w14:paraId="4BECB0F5"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8. Decide on approving the project to restructure and rearrange Hanoi Food Import - Export Joint Stock Company for the period 2021-2025.</w:t>
      </w:r>
    </w:p>
    <w:p w14:paraId="524D77A0" w14:textId="77777777" w:rsidR="006B5311" w:rsidRPr="00402F8F" w:rsidRDefault="00701638" w:rsidP="003224BF">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Authorize the Board of Directors to sign and announce the Decision approving the project to restructure and rearrange Hanoi Food Import - Export Joint Stock Company for the period 2021-2025.</w:t>
      </w:r>
    </w:p>
    <w:p w14:paraId="00F3200D"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9. Elect additional members of the Company's Supervisory Board for the term 2020-2025.</w:t>
      </w:r>
    </w:p>
    <w:p w14:paraId="0A214DEB"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The General Meeting elects and approves the results of the additional election of members of the Company's Supervisory Board for the term (2020-2025).</w:t>
      </w:r>
    </w:p>
    <w:tbl>
      <w:tblPr>
        <w:tblStyle w:val="a1"/>
        <w:tblW w:w="5000" w:type="pct"/>
        <w:jc w:val="center"/>
        <w:tblLook w:val="0400" w:firstRow="0" w:lastRow="0" w:firstColumn="0" w:lastColumn="0" w:noHBand="0" w:noVBand="1"/>
      </w:tblPr>
      <w:tblGrid>
        <w:gridCol w:w="958"/>
        <w:gridCol w:w="5862"/>
        <w:gridCol w:w="2220"/>
      </w:tblGrid>
      <w:tr w:rsidR="00402F8F" w:rsidRPr="00402F8F" w14:paraId="7BA533C2" w14:textId="77777777" w:rsidTr="00402F8F">
        <w:trPr>
          <w:trHeight w:val="465"/>
          <w:jc w:val="center"/>
        </w:trPr>
        <w:tc>
          <w:tcPr>
            <w:tcW w:w="530" w:type="pct"/>
            <w:vMerge w:val="restart"/>
            <w:tcBorders>
              <w:top w:val="single" w:sz="4" w:space="0" w:color="000000"/>
              <w:left w:val="single" w:sz="4" w:space="0" w:color="000000"/>
            </w:tcBorders>
            <w:shd w:val="clear" w:color="auto" w:fill="auto"/>
            <w:tcMar>
              <w:top w:w="0" w:type="dxa"/>
              <w:bottom w:w="0" w:type="dxa"/>
            </w:tcMar>
            <w:vAlign w:val="center"/>
          </w:tcPr>
          <w:p w14:paraId="3AB6F6E1" w14:textId="77777777" w:rsidR="00402F8F" w:rsidRPr="00402F8F" w:rsidRDefault="00402F8F"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r w:rsidRPr="00402F8F">
              <w:rPr>
                <w:rFonts w:ascii="Arial" w:hAnsi="Arial" w:cs="Arial"/>
                <w:sz w:val="20"/>
              </w:rPr>
              <w:t>No.</w:t>
            </w:r>
          </w:p>
        </w:tc>
        <w:tc>
          <w:tcPr>
            <w:tcW w:w="3242" w:type="pct"/>
            <w:vMerge w:val="restart"/>
            <w:tcBorders>
              <w:top w:val="single" w:sz="4" w:space="0" w:color="000000"/>
              <w:left w:val="single" w:sz="4" w:space="0" w:color="000000"/>
            </w:tcBorders>
            <w:shd w:val="clear" w:color="auto" w:fill="auto"/>
            <w:tcMar>
              <w:top w:w="0" w:type="dxa"/>
              <w:bottom w:w="0" w:type="dxa"/>
            </w:tcMar>
            <w:vAlign w:val="center"/>
          </w:tcPr>
          <w:p w14:paraId="1829F829" w14:textId="4FDE3D78" w:rsidR="00402F8F" w:rsidRPr="00402F8F" w:rsidRDefault="00402F8F"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Candidate</w:t>
            </w:r>
          </w:p>
        </w:tc>
        <w:tc>
          <w:tcPr>
            <w:tcW w:w="122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8AD8A0" w14:textId="77777777" w:rsidR="00402F8F" w:rsidRPr="00402F8F" w:rsidRDefault="00402F8F"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Result</w:t>
            </w:r>
          </w:p>
        </w:tc>
      </w:tr>
      <w:tr w:rsidR="00402F8F" w:rsidRPr="00402F8F" w14:paraId="137868B8" w14:textId="77777777" w:rsidTr="00402F8F">
        <w:trPr>
          <w:trHeight w:val="465"/>
          <w:jc w:val="center"/>
        </w:trPr>
        <w:tc>
          <w:tcPr>
            <w:tcW w:w="530" w:type="pct"/>
            <w:vMerge/>
            <w:tcBorders>
              <w:top w:val="single" w:sz="4" w:space="0" w:color="000000"/>
              <w:left w:val="single" w:sz="4" w:space="0" w:color="000000"/>
            </w:tcBorders>
            <w:shd w:val="clear" w:color="auto" w:fill="auto"/>
            <w:tcMar>
              <w:top w:w="0" w:type="dxa"/>
              <w:bottom w:w="0" w:type="dxa"/>
            </w:tcMar>
            <w:vAlign w:val="center"/>
          </w:tcPr>
          <w:p w14:paraId="0BBF9E2E" w14:textId="77777777" w:rsidR="00402F8F" w:rsidRPr="00402F8F" w:rsidRDefault="00402F8F"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c>
          <w:tcPr>
            <w:tcW w:w="3242" w:type="pct"/>
            <w:vMerge/>
            <w:tcBorders>
              <w:top w:val="single" w:sz="4" w:space="0" w:color="000000"/>
              <w:left w:val="single" w:sz="4" w:space="0" w:color="000000"/>
            </w:tcBorders>
            <w:shd w:val="clear" w:color="auto" w:fill="auto"/>
            <w:tcMar>
              <w:top w:w="0" w:type="dxa"/>
              <w:bottom w:w="0" w:type="dxa"/>
            </w:tcMar>
            <w:vAlign w:val="center"/>
          </w:tcPr>
          <w:p w14:paraId="5123F233" w14:textId="77777777" w:rsidR="00402F8F" w:rsidRPr="00402F8F" w:rsidRDefault="00402F8F"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c>
          <w:tcPr>
            <w:tcW w:w="122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54922C" w14:textId="77777777" w:rsidR="00402F8F" w:rsidRPr="00402F8F" w:rsidRDefault="00402F8F" w:rsidP="00402F8F">
            <w:pPr>
              <w:pBdr>
                <w:top w:val="nil"/>
                <w:left w:val="nil"/>
                <w:bottom w:val="nil"/>
                <w:right w:val="nil"/>
                <w:between w:val="nil"/>
              </w:pBdr>
              <w:tabs>
                <w:tab w:val="left" w:pos="567"/>
              </w:tabs>
              <w:spacing w:after="120" w:line="360" w:lineRule="auto"/>
              <w:rPr>
                <w:rFonts w:ascii="Arial" w:eastAsia="Arial" w:hAnsi="Arial" w:cs="Arial"/>
                <w:sz w:val="20"/>
                <w:szCs w:val="20"/>
              </w:rPr>
            </w:pPr>
          </w:p>
        </w:tc>
      </w:tr>
      <w:tr w:rsidR="00402F8F" w:rsidRPr="00402F8F" w14:paraId="56263F77" w14:textId="77777777" w:rsidTr="00402F8F">
        <w:trPr>
          <w:jc w:val="center"/>
        </w:trPr>
        <w:tc>
          <w:tcPr>
            <w:tcW w:w="5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56204E" w14:textId="77777777" w:rsidR="00402F8F" w:rsidRPr="00402F8F" w:rsidRDefault="00402F8F"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1</w:t>
            </w:r>
          </w:p>
        </w:tc>
        <w:tc>
          <w:tcPr>
            <w:tcW w:w="32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22126C" w14:textId="77777777" w:rsidR="00402F8F" w:rsidRPr="00402F8F" w:rsidRDefault="00402F8F"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Trinh Ngoc Anh</w:t>
            </w:r>
          </w:p>
        </w:tc>
        <w:tc>
          <w:tcPr>
            <w:tcW w:w="12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62E633" w14:textId="77777777" w:rsidR="00402F8F" w:rsidRPr="00402F8F" w:rsidRDefault="00402F8F" w:rsidP="00402F8F">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402F8F">
              <w:rPr>
                <w:rFonts w:ascii="Arial" w:hAnsi="Arial" w:cs="Arial"/>
                <w:sz w:val="20"/>
              </w:rPr>
              <w:t>Elected</w:t>
            </w:r>
          </w:p>
        </w:tc>
      </w:tr>
    </w:tbl>
    <w:p w14:paraId="145DABB3" w14:textId="77777777" w:rsidR="006B5311" w:rsidRPr="00402F8F"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bookmarkStart w:id="1" w:name="_heading=h.gjdgxs"/>
      <w:bookmarkEnd w:id="1"/>
      <w:r w:rsidRPr="00402F8F">
        <w:rPr>
          <w:rFonts w:ascii="Arial" w:hAnsi="Arial" w:cs="Arial"/>
          <w:sz w:val="20"/>
        </w:rPr>
        <w:t>‎‎Article 10. The General Meeting of Shareholders assigns the Board of Directors to carry out necessary tasks to implement the contents of the above General Mandate in accordance with the provisions of law and the Company's Charter.</w:t>
      </w:r>
    </w:p>
    <w:p w14:paraId="6890A1FB" w14:textId="16BA9B1B" w:rsidR="006B5311" w:rsidRPr="00701638" w:rsidRDefault="00701638" w:rsidP="003224BF">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402F8F">
        <w:rPr>
          <w:rFonts w:ascii="Arial" w:hAnsi="Arial" w:cs="Arial"/>
          <w:sz w:val="20"/>
        </w:rPr>
        <w:t>‎‎Article 11. The General Mandate takes effect from the date of signing and is approved by the Annual General Meeting of Shareholders 2024 of Hanoi Food Import - Export Joint Stock Company at 11.00 a.m. on April 12, 2024</w:t>
      </w:r>
      <w:r w:rsidR="00963B5C">
        <w:rPr>
          <w:rFonts w:ascii="Arial" w:hAnsi="Arial" w:cs="Arial"/>
          <w:sz w:val="20"/>
        </w:rPr>
        <w:t>.</w:t>
      </w:r>
    </w:p>
    <w:sectPr w:rsidR="006B5311" w:rsidRPr="00701638" w:rsidSect="00701638">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158"/>
    <w:multiLevelType w:val="multilevel"/>
    <w:tmpl w:val="60BA1F9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F969B2"/>
    <w:multiLevelType w:val="multilevel"/>
    <w:tmpl w:val="B1BC083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9646B0"/>
    <w:multiLevelType w:val="multilevel"/>
    <w:tmpl w:val="281C46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6147BC"/>
    <w:multiLevelType w:val="multilevel"/>
    <w:tmpl w:val="BB2C02F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F05DA6"/>
    <w:multiLevelType w:val="multilevel"/>
    <w:tmpl w:val="F6F47274"/>
    <w:lvl w:ilvl="0">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8F58CB"/>
    <w:multiLevelType w:val="multilevel"/>
    <w:tmpl w:val="BE4E2B38"/>
    <w:lvl w:ilvl="0">
      <w:start w:val="6"/>
      <w:numFmt w:val="decimal"/>
      <w:lvlText w:val="%1."/>
      <w:lvlJc w:val="left"/>
      <w:pPr>
        <w:ind w:left="360" w:hanging="360"/>
      </w:pPr>
      <w:rPr>
        <w:b w:val="0"/>
        <w:i w:val="0"/>
        <w:sz w:val="20"/>
      </w:rPr>
    </w:lvl>
    <w:lvl w:ilvl="1">
      <w:start w:val="1"/>
      <w:numFmt w:val="decimal"/>
      <w:lvlText w:val="%1.%2."/>
      <w:lvlJc w:val="left"/>
      <w:pPr>
        <w:ind w:left="7874"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11"/>
    <w:rsid w:val="001E4B1C"/>
    <w:rsid w:val="003224BF"/>
    <w:rsid w:val="00402F8F"/>
    <w:rsid w:val="0069012C"/>
    <w:rsid w:val="006B5311"/>
    <w:rsid w:val="00701638"/>
    <w:rsid w:val="0082140A"/>
    <w:rsid w:val="00963B5C"/>
    <w:rsid w:val="00AB516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8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AE5467"/>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AE5467"/>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AE5467"/>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E5467"/>
      <w:sz w:val="20"/>
      <w:szCs w:val="20"/>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16" w:lineRule="auto"/>
    </w:pPr>
    <w:rPr>
      <w:rFonts w:ascii="Arial" w:eastAsia="Arial" w:hAnsi="Arial" w:cs="Arial"/>
      <w:b/>
      <w:bCs/>
      <w:sz w:val="8"/>
      <w:szCs w:val="8"/>
    </w:rPr>
  </w:style>
  <w:style w:type="paragraph" w:customStyle="1" w:styleId="Bodytext30">
    <w:name w:val="Body text (3)"/>
    <w:basedOn w:val="Normal"/>
    <w:link w:val="Bodytext3"/>
    <w:rPr>
      <w:rFonts w:ascii="Arial" w:eastAsia="Arial" w:hAnsi="Arial" w:cs="Arial"/>
      <w:sz w:val="18"/>
      <w:szCs w:val="18"/>
    </w:rPr>
  </w:style>
  <w:style w:type="paragraph" w:customStyle="1" w:styleId="Other0">
    <w:name w:val="Other"/>
    <w:basedOn w:val="Normal"/>
    <w:link w:val="Other"/>
    <w:pPr>
      <w:spacing w:line="300"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b/>
      <w:bCs/>
    </w:rPr>
  </w:style>
  <w:style w:type="paragraph" w:customStyle="1" w:styleId="Bodytext40">
    <w:name w:val="Body text (4)"/>
    <w:basedOn w:val="Normal"/>
    <w:link w:val="Bodytext4"/>
    <w:pPr>
      <w:spacing w:after="80" w:line="310" w:lineRule="auto"/>
    </w:pPr>
    <w:rPr>
      <w:rFonts w:ascii="Times New Roman" w:eastAsia="Times New Roman" w:hAnsi="Times New Roman" w:cs="Times New Roman"/>
      <w:b/>
      <w:bCs/>
      <w:color w:val="AE5467"/>
      <w:sz w:val="15"/>
      <w:szCs w:val="15"/>
    </w:rPr>
  </w:style>
  <w:style w:type="paragraph" w:customStyle="1" w:styleId="Heading11">
    <w:name w:val="Heading #1"/>
    <w:basedOn w:val="Normal"/>
    <w:link w:val="Heading10"/>
    <w:pPr>
      <w:spacing w:after="160" w:line="221" w:lineRule="auto"/>
      <w:ind w:firstLine="490"/>
      <w:outlineLvl w:val="0"/>
    </w:pPr>
    <w:rPr>
      <w:rFonts w:ascii="Times New Roman" w:eastAsia="Times New Roman" w:hAnsi="Times New Roman" w:cs="Times New Roman"/>
      <w:smallCaps/>
      <w:color w:val="AE5467"/>
      <w:sz w:val="30"/>
      <w:szCs w:val="30"/>
    </w:rPr>
  </w:style>
  <w:style w:type="paragraph" w:customStyle="1" w:styleId="Bodytext60">
    <w:name w:val="Body text (6)"/>
    <w:basedOn w:val="Normal"/>
    <w:link w:val="Bodytext6"/>
    <w:pPr>
      <w:spacing w:after="80" w:line="259" w:lineRule="auto"/>
      <w:jc w:val="right"/>
    </w:pPr>
    <w:rPr>
      <w:rFonts w:ascii="Times New Roman" w:eastAsia="Times New Roman" w:hAnsi="Times New Roman" w:cs="Times New Roman"/>
      <w:color w:val="AE5467"/>
      <w:sz w:val="18"/>
      <w:szCs w:val="18"/>
    </w:rPr>
  </w:style>
  <w:style w:type="paragraph" w:customStyle="1" w:styleId="Bodytext50">
    <w:name w:val="Body text (5)"/>
    <w:basedOn w:val="Normal"/>
    <w:link w:val="Bodytext5"/>
    <w:pPr>
      <w:spacing w:line="233" w:lineRule="auto"/>
      <w:jc w:val="right"/>
    </w:pPr>
    <w:rPr>
      <w:rFonts w:ascii="Arial" w:eastAsia="Arial" w:hAnsi="Arial" w:cs="Arial"/>
      <w:color w:val="AE546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AE5467"/>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AE5467"/>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AE5467"/>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E5467"/>
      <w:sz w:val="20"/>
      <w:szCs w:val="20"/>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16" w:lineRule="auto"/>
    </w:pPr>
    <w:rPr>
      <w:rFonts w:ascii="Arial" w:eastAsia="Arial" w:hAnsi="Arial" w:cs="Arial"/>
      <w:b/>
      <w:bCs/>
      <w:sz w:val="8"/>
      <w:szCs w:val="8"/>
    </w:rPr>
  </w:style>
  <w:style w:type="paragraph" w:customStyle="1" w:styleId="Bodytext30">
    <w:name w:val="Body text (3)"/>
    <w:basedOn w:val="Normal"/>
    <w:link w:val="Bodytext3"/>
    <w:rPr>
      <w:rFonts w:ascii="Arial" w:eastAsia="Arial" w:hAnsi="Arial" w:cs="Arial"/>
      <w:sz w:val="18"/>
      <w:szCs w:val="18"/>
    </w:rPr>
  </w:style>
  <w:style w:type="paragraph" w:customStyle="1" w:styleId="Other0">
    <w:name w:val="Other"/>
    <w:basedOn w:val="Normal"/>
    <w:link w:val="Other"/>
    <w:pPr>
      <w:spacing w:line="300"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b/>
      <w:bCs/>
    </w:rPr>
  </w:style>
  <w:style w:type="paragraph" w:customStyle="1" w:styleId="Bodytext40">
    <w:name w:val="Body text (4)"/>
    <w:basedOn w:val="Normal"/>
    <w:link w:val="Bodytext4"/>
    <w:pPr>
      <w:spacing w:after="80" w:line="310" w:lineRule="auto"/>
    </w:pPr>
    <w:rPr>
      <w:rFonts w:ascii="Times New Roman" w:eastAsia="Times New Roman" w:hAnsi="Times New Roman" w:cs="Times New Roman"/>
      <w:b/>
      <w:bCs/>
      <w:color w:val="AE5467"/>
      <w:sz w:val="15"/>
      <w:szCs w:val="15"/>
    </w:rPr>
  </w:style>
  <w:style w:type="paragraph" w:customStyle="1" w:styleId="Heading11">
    <w:name w:val="Heading #1"/>
    <w:basedOn w:val="Normal"/>
    <w:link w:val="Heading10"/>
    <w:pPr>
      <w:spacing w:after="160" w:line="221" w:lineRule="auto"/>
      <w:ind w:firstLine="490"/>
      <w:outlineLvl w:val="0"/>
    </w:pPr>
    <w:rPr>
      <w:rFonts w:ascii="Times New Roman" w:eastAsia="Times New Roman" w:hAnsi="Times New Roman" w:cs="Times New Roman"/>
      <w:smallCaps/>
      <w:color w:val="AE5467"/>
      <w:sz w:val="30"/>
      <w:szCs w:val="30"/>
    </w:rPr>
  </w:style>
  <w:style w:type="paragraph" w:customStyle="1" w:styleId="Bodytext60">
    <w:name w:val="Body text (6)"/>
    <w:basedOn w:val="Normal"/>
    <w:link w:val="Bodytext6"/>
    <w:pPr>
      <w:spacing w:after="80" w:line="259" w:lineRule="auto"/>
      <w:jc w:val="right"/>
    </w:pPr>
    <w:rPr>
      <w:rFonts w:ascii="Times New Roman" w:eastAsia="Times New Roman" w:hAnsi="Times New Roman" w:cs="Times New Roman"/>
      <w:color w:val="AE5467"/>
      <w:sz w:val="18"/>
      <w:szCs w:val="18"/>
    </w:rPr>
  </w:style>
  <w:style w:type="paragraph" w:customStyle="1" w:styleId="Bodytext50">
    <w:name w:val="Body text (5)"/>
    <w:basedOn w:val="Normal"/>
    <w:link w:val="Bodytext5"/>
    <w:pPr>
      <w:spacing w:line="233" w:lineRule="auto"/>
      <w:jc w:val="right"/>
    </w:pPr>
    <w:rPr>
      <w:rFonts w:ascii="Arial" w:eastAsia="Arial" w:hAnsi="Arial" w:cs="Arial"/>
      <w:color w:val="AE546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7Fgd9iHWzadHw1vYBMzPkSFiw==">CgMxLjAyCGguZ2pkZ3hzOAByITE1Skd2cXo2Y1VXMEFnS2NQYlpzRktuYkQtWHJXdmx1YQ==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1176</Words>
  <Characters>6395</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2024-04-17T06:46:00Z</dcterms:created>
  <dcterms:modified xsi:type="dcterms:W3CDTF">2024-04-22T03:37:00Z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c9c9df744ff6b7ca86f985a64bedcbb6268acc4c6db9090649542c6ed8a60db9</vt:lpwstr>
  </property>
</Properties>
</file>