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C0DEC"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sidRPr="000D6171">
        <w:rPr>
          <w:rFonts w:ascii="Arial" w:hAnsi="Arial" w:cs="Arial"/>
          <w:b/>
          <w:color w:val="010000"/>
          <w:sz w:val="20"/>
        </w:rPr>
        <w:t>HMG: Annual General Mandate 2024</w:t>
      </w:r>
    </w:p>
    <w:p w14:paraId="67FEC4E3"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On April 15, 2024, Vnsteel - Hanoi Steel Corporation announced General Mandate No. 606/NQ-HNS as follows:</w:t>
      </w:r>
    </w:p>
    <w:p w14:paraId="33D43479"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1: Agree on approving the Report of the Company's Board of Directors on evaluating the performance results in 2023 and the goals and directions for 2024.</w:t>
      </w:r>
    </w:p>
    <w:p w14:paraId="6EEDD108" w14:textId="77777777" w:rsidR="00650824" w:rsidRPr="000D6171" w:rsidRDefault="004F3C7F" w:rsidP="00D603E7">
      <w:pPr>
        <w:numPr>
          <w:ilvl w:val="0"/>
          <w:numId w:val="5"/>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Results of implementing key planned targets:</w:t>
      </w:r>
    </w:p>
    <w:p w14:paraId="34792042" w14:textId="77777777" w:rsidR="00650824" w:rsidRPr="000D6171" w:rsidRDefault="004F3C7F" w:rsidP="00F708F1">
      <w:pPr>
        <w:numPr>
          <w:ilvl w:val="1"/>
          <w:numId w:val="5"/>
        </w:numPr>
        <w:pBdr>
          <w:top w:val="nil"/>
          <w:left w:val="nil"/>
          <w:bottom w:val="nil"/>
          <w:right w:val="nil"/>
          <w:between w:val="nil"/>
        </w:pBdr>
        <w:tabs>
          <w:tab w:val="left" w:pos="567"/>
          <w:tab w:val="left" w:pos="1198"/>
        </w:tabs>
        <w:spacing w:after="120" w:line="360" w:lineRule="auto"/>
        <w:rPr>
          <w:rFonts w:ascii="Arial" w:eastAsia="Arial" w:hAnsi="Arial" w:cs="Arial"/>
          <w:color w:val="010000"/>
          <w:sz w:val="20"/>
          <w:szCs w:val="20"/>
        </w:rPr>
      </w:pPr>
      <w:r w:rsidRPr="000D6171">
        <w:rPr>
          <w:rFonts w:ascii="Arial" w:hAnsi="Arial" w:cs="Arial"/>
          <w:color w:val="010000"/>
          <w:sz w:val="20"/>
        </w:rPr>
        <w:t>Business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4"/>
        <w:gridCol w:w="2481"/>
        <w:gridCol w:w="1088"/>
        <w:gridCol w:w="1270"/>
        <w:gridCol w:w="1388"/>
        <w:gridCol w:w="979"/>
        <w:gridCol w:w="1117"/>
      </w:tblGrid>
      <w:tr w:rsidR="00650824" w:rsidRPr="000D6171" w14:paraId="191E5864" w14:textId="77777777" w:rsidTr="004F3C7F">
        <w:tc>
          <w:tcPr>
            <w:tcW w:w="394" w:type="pct"/>
            <w:shd w:val="clear" w:color="auto" w:fill="auto"/>
            <w:tcMar>
              <w:top w:w="0" w:type="dxa"/>
              <w:bottom w:w="0" w:type="dxa"/>
            </w:tcMar>
            <w:vAlign w:val="center"/>
          </w:tcPr>
          <w:p w14:paraId="25D763A9"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No.</w:t>
            </w:r>
          </w:p>
        </w:tc>
        <w:tc>
          <w:tcPr>
            <w:tcW w:w="1385" w:type="pct"/>
            <w:shd w:val="clear" w:color="auto" w:fill="auto"/>
            <w:tcMar>
              <w:top w:w="0" w:type="dxa"/>
              <w:bottom w:w="0" w:type="dxa"/>
            </w:tcMar>
            <w:vAlign w:val="center"/>
          </w:tcPr>
          <w:p w14:paraId="53172282"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Target</w:t>
            </w:r>
          </w:p>
        </w:tc>
        <w:tc>
          <w:tcPr>
            <w:tcW w:w="612" w:type="pct"/>
            <w:shd w:val="clear" w:color="auto" w:fill="auto"/>
            <w:tcMar>
              <w:top w:w="0" w:type="dxa"/>
              <w:bottom w:w="0" w:type="dxa"/>
            </w:tcMar>
            <w:vAlign w:val="center"/>
          </w:tcPr>
          <w:p w14:paraId="3993C672"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Unit</w:t>
            </w:r>
          </w:p>
        </w:tc>
        <w:tc>
          <w:tcPr>
            <w:tcW w:w="713" w:type="pct"/>
            <w:shd w:val="clear" w:color="auto" w:fill="auto"/>
            <w:tcMar>
              <w:top w:w="0" w:type="dxa"/>
              <w:bottom w:w="0" w:type="dxa"/>
            </w:tcMar>
            <w:vAlign w:val="center"/>
          </w:tcPr>
          <w:p w14:paraId="7530C87F" w14:textId="69AF56AA"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 xml:space="preserve">Planned by </w:t>
            </w:r>
            <w:r w:rsidR="00D603E7">
              <w:rPr>
                <w:rFonts w:ascii="Arial" w:hAnsi="Arial" w:cs="Arial"/>
                <w:color w:val="010000"/>
                <w:sz w:val="20"/>
              </w:rPr>
              <w:t>General Meeting</w:t>
            </w:r>
          </w:p>
        </w:tc>
        <w:tc>
          <w:tcPr>
            <w:tcW w:w="716" w:type="pct"/>
            <w:shd w:val="clear" w:color="auto" w:fill="auto"/>
            <w:tcMar>
              <w:top w:w="0" w:type="dxa"/>
              <w:bottom w:w="0" w:type="dxa"/>
            </w:tcMar>
            <w:vAlign w:val="center"/>
          </w:tcPr>
          <w:p w14:paraId="6B889C1B"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Implementation</w:t>
            </w:r>
          </w:p>
        </w:tc>
        <w:tc>
          <w:tcPr>
            <w:tcW w:w="552" w:type="pct"/>
            <w:shd w:val="clear" w:color="auto" w:fill="auto"/>
            <w:tcMar>
              <w:top w:w="0" w:type="dxa"/>
              <w:bottom w:w="0" w:type="dxa"/>
            </w:tcMar>
            <w:vAlign w:val="center"/>
          </w:tcPr>
          <w:p w14:paraId="72D9AE44"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 xml:space="preserve">%/Plan </w:t>
            </w:r>
          </w:p>
        </w:tc>
        <w:tc>
          <w:tcPr>
            <w:tcW w:w="628" w:type="pct"/>
            <w:shd w:val="clear" w:color="auto" w:fill="auto"/>
            <w:tcMar>
              <w:top w:w="0" w:type="dxa"/>
              <w:bottom w:w="0" w:type="dxa"/>
            </w:tcMar>
            <w:vAlign w:val="center"/>
          </w:tcPr>
          <w:p w14:paraId="23FF6DA7"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 compared to that of 2022</w:t>
            </w:r>
          </w:p>
        </w:tc>
      </w:tr>
      <w:tr w:rsidR="00650824" w:rsidRPr="000D6171" w14:paraId="5C881C8A" w14:textId="77777777" w:rsidTr="004F3C7F">
        <w:tc>
          <w:tcPr>
            <w:tcW w:w="394" w:type="pct"/>
            <w:shd w:val="clear" w:color="auto" w:fill="auto"/>
            <w:tcMar>
              <w:top w:w="0" w:type="dxa"/>
              <w:bottom w:w="0" w:type="dxa"/>
            </w:tcMar>
            <w:vAlign w:val="center"/>
          </w:tcPr>
          <w:p w14:paraId="3C31BB10"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w:t>
            </w:r>
          </w:p>
        </w:tc>
        <w:tc>
          <w:tcPr>
            <w:tcW w:w="1385" w:type="pct"/>
            <w:shd w:val="clear" w:color="auto" w:fill="auto"/>
            <w:tcMar>
              <w:top w:w="0" w:type="dxa"/>
              <w:bottom w:w="0" w:type="dxa"/>
            </w:tcMar>
            <w:vAlign w:val="center"/>
          </w:tcPr>
          <w:p w14:paraId="5AE21A45"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Sales volume</w:t>
            </w:r>
          </w:p>
        </w:tc>
        <w:tc>
          <w:tcPr>
            <w:tcW w:w="612" w:type="pct"/>
            <w:shd w:val="clear" w:color="auto" w:fill="auto"/>
            <w:tcMar>
              <w:top w:w="0" w:type="dxa"/>
              <w:bottom w:w="0" w:type="dxa"/>
            </w:tcMar>
            <w:vAlign w:val="center"/>
          </w:tcPr>
          <w:p w14:paraId="2F16B185"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Tons</w:t>
            </w:r>
          </w:p>
        </w:tc>
        <w:tc>
          <w:tcPr>
            <w:tcW w:w="713" w:type="pct"/>
            <w:shd w:val="clear" w:color="auto" w:fill="auto"/>
            <w:tcMar>
              <w:top w:w="0" w:type="dxa"/>
              <w:bottom w:w="0" w:type="dxa"/>
            </w:tcMar>
            <w:vAlign w:val="center"/>
          </w:tcPr>
          <w:p w14:paraId="14A4F6BD"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160,000</w:t>
            </w:r>
          </w:p>
        </w:tc>
        <w:tc>
          <w:tcPr>
            <w:tcW w:w="716" w:type="pct"/>
            <w:shd w:val="clear" w:color="auto" w:fill="auto"/>
            <w:tcMar>
              <w:top w:w="0" w:type="dxa"/>
              <w:bottom w:w="0" w:type="dxa"/>
            </w:tcMar>
            <w:vAlign w:val="center"/>
          </w:tcPr>
          <w:p w14:paraId="179A65B6"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285,727</w:t>
            </w:r>
          </w:p>
        </w:tc>
        <w:tc>
          <w:tcPr>
            <w:tcW w:w="552" w:type="pct"/>
            <w:shd w:val="clear" w:color="auto" w:fill="auto"/>
            <w:tcMar>
              <w:top w:w="0" w:type="dxa"/>
              <w:bottom w:w="0" w:type="dxa"/>
            </w:tcMar>
            <w:vAlign w:val="center"/>
          </w:tcPr>
          <w:p w14:paraId="193CC1AC"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179%</w:t>
            </w:r>
          </w:p>
        </w:tc>
        <w:tc>
          <w:tcPr>
            <w:tcW w:w="628" w:type="pct"/>
            <w:shd w:val="clear" w:color="auto" w:fill="auto"/>
            <w:tcMar>
              <w:top w:w="0" w:type="dxa"/>
              <w:bottom w:w="0" w:type="dxa"/>
            </w:tcMar>
            <w:vAlign w:val="center"/>
          </w:tcPr>
          <w:p w14:paraId="4ADEB30F"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127%</w:t>
            </w:r>
          </w:p>
        </w:tc>
      </w:tr>
      <w:tr w:rsidR="00650824" w:rsidRPr="000D6171" w14:paraId="3ACE0BA0" w14:textId="77777777" w:rsidTr="004F3C7F">
        <w:tc>
          <w:tcPr>
            <w:tcW w:w="394" w:type="pct"/>
            <w:shd w:val="clear" w:color="auto" w:fill="auto"/>
            <w:tcMar>
              <w:top w:w="0" w:type="dxa"/>
              <w:bottom w:w="0" w:type="dxa"/>
            </w:tcMar>
            <w:vAlign w:val="center"/>
          </w:tcPr>
          <w:p w14:paraId="6CBBCF05"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2</w:t>
            </w:r>
          </w:p>
        </w:tc>
        <w:tc>
          <w:tcPr>
            <w:tcW w:w="1385" w:type="pct"/>
            <w:shd w:val="clear" w:color="auto" w:fill="auto"/>
            <w:tcMar>
              <w:top w:w="0" w:type="dxa"/>
              <w:bottom w:w="0" w:type="dxa"/>
            </w:tcMar>
            <w:vAlign w:val="center"/>
          </w:tcPr>
          <w:p w14:paraId="7C01DA70"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Revenue</w:t>
            </w:r>
          </w:p>
        </w:tc>
        <w:tc>
          <w:tcPr>
            <w:tcW w:w="612" w:type="pct"/>
            <w:shd w:val="clear" w:color="auto" w:fill="auto"/>
            <w:tcMar>
              <w:top w:w="0" w:type="dxa"/>
              <w:bottom w:w="0" w:type="dxa"/>
            </w:tcMar>
            <w:vAlign w:val="center"/>
          </w:tcPr>
          <w:p w14:paraId="6E2602FB"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Million VND</w:t>
            </w:r>
          </w:p>
        </w:tc>
        <w:tc>
          <w:tcPr>
            <w:tcW w:w="713" w:type="pct"/>
            <w:shd w:val="clear" w:color="auto" w:fill="auto"/>
            <w:tcMar>
              <w:top w:w="0" w:type="dxa"/>
              <w:bottom w:w="0" w:type="dxa"/>
            </w:tcMar>
            <w:vAlign w:val="center"/>
          </w:tcPr>
          <w:p w14:paraId="434D409C"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2,441,500</w:t>
            </w:r>
          </w:p>
        </w:tc>
        <w:tc>
          <w:tcPr>
            <w:tcW w:w="716" w:type="pct"/>
            <w:shd w:val="clear" w:color="auto" w:fill="auto"/>
            <w:tcMar>
              <w:top w:w="0" w:type="dxa"/>
              <w:bottom w:w="0" w:type="dxa"/>
            </w:tcMar>
            <w:vAlign w:val="center"/>
          </w:tcPr>
          <w:p w14:paraId="05B46A08"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4,011,132</w:t>
            </w:r>
          </w:p>
        </w:tc>
        <w:tc>
          <w:tcPr>
            <w:tcW w:w="552" w:type="pct"/>
            <w:shd w:val="clear" w:color="auto" w:fill="auto"/>
            <w:tcMar>
              <w:top w:w="0" w:type="dxa"/>
              <w:bottom w:w="0" w:type="dxa"/>
            </w:tcMar>
            <w:vAlign w:val="center"/>
          </w:tcPr>
          <w:p w14:paraId="755461B6"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164%</w:t>
            </w:r>
          </w:p>
        </w:tc>
        <w:tc>
          <w:tcPr>
            <w:tcW w:w="628" w:type="pct"/>
            <w:shd w:val="clear" w:color="auto" w:fill="auto"/>
            <w:tcMar>
              <w:top w:w="0" w:type="dxa"/>
              <w:bottom w:w="0" w:type="dxa"/>
            </w:tcMar>
            <w:vAlign w:val="center"/>
          </w:tcPr>
          <w:p w14:paraId="413574C9"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113%</w:t>
            </w:r>
          </w:p>
        </w:tc>
      </w:tr>
      <w:tr w:rsidR="00650824" w:rsidRPr="000D6171" w14:paraId="284BC406" w14:textId="77777777" w:rsidTr="004F3C7F">
        <w:tc>
          <w:tcPr>
            <w:tcW w:w="394" w:type="pct"/>
            <w:shd w:val="clear" w:color="auto" w:fill="auto"/>
            <w:tcMar>
              <w:top w:w="0" w:type="dxa"/>
              <w:bottom w:w="0" w:type="dxa"/>
            </w:tcMar>
            <w:vAlign w:val="center"/>
          </w:tcPr>
          <w:p w14:paraId="0DA0D358"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3</w:t>
            </w:r>
          </w:p>
        </w:tc>
        <w:tc>
          <w:tcPr>
            <w:tcW w:w="1385" w:type="pct"/>
            <w:shd w:val="clear" w:color="auto" w:fill="auto"/>
            <w:tcMar>
              <w:top w:w="0" w:type="dxa"/>
              <w:bottom w:w="0" w:type="dxa"/>
            </w:tcMar>
            <w:vAlign w:val="center"/>
          </w:tcPr>
          <w:p w14:paraId="6DD87EC1"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Profit before tax:</w:t>
            </w:r>
          </w:p>
        </w:tc>
        <w:tc>
          <w:tcPr>
            <w:tcW w:w="612" w:type="pct"/>
            <w:shd w:val="clear" w:color="auto" w:fill="auto"/>
            <w:tcMar>
              <w:top w:w="0" w:type="dxa"/>
              <w:bottom w:w="0" w:type="dxa"/>
            </w:tcMar>
            <w:vAlign w:val="center"/>
          </w:tcPr>
          <w:p w14:paraId="25839D43"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Million VND</w:t>
            </w:r>
          </w:p>
        </w:tc>
        <w:tc>
          <w:tcPr>
            <w:tcW w:w="713" w:type="pct"/>
            <w:shd w:val="clear" w:color="auto" w:fill="auto"/>
            <w:tcMar>
              <w:top w:w="0" w:type="dxa"/>
              <w:bottom w:w="0" w:type="dxa"/>
            </w:tcMar>
            <w:vAlign w:val="center"/>
          </w:tcPr>
          <w:p w14:paraId="4534E397"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7,000</w:t>
            </w:r>
          </w:p>
        </w:tc>
        <w:tc>
          <w:tcPr>
            <w:tcW w:w="716" w:type="pct"/>
            <w:shd w:val="clear" w:color="auto" w:fill="auto"/>
            <w:tcMar>
              <w:top w:w="0" w:type="dxa"/>
              <w:bottom w:w="0" w:type="dxa"/>
            </w:tcMar>
            <w:vAlign w:val="center"/>
          </w:tcPr>
          <w:p w14:paraId="190BDFF0"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15,021</w:t>
            </w:r>
          </w:p>
        </w:tc>
        <w:tc>
          <w:tcPr>
            <w:tcW w:w="552" w:type="pct"/>
            <w:shd w:val="clear" w:color="auto" w:fill="auto"/>
            <w:tcMar>
              <w:top w:w="0" w:type="dxa"/>
              <w:bottom w:w="0" w:type="dxa"/>
            </w:tcMar>
            <w:vAlign w:val="center"/>
          </w:tcPr>
          <w:p w14:paraId="779AC9FC"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215%</w:t>
            </w:r>
          </w:p>
        </w:tc>
        <w:tc>
          <w:tcPr>
            <w:tcW w:w="628" w:type="pct"/>
            <w:shd w:val="clear" w:color="auto" w:fill="auto"/>
            <w:tcMar>
              <w:top w:w="0" w:type="dxa"/>
              <w:bottom w:w="0" w:type="dxa"/>
            </w:tcMar>
            <w:vAlign w:val="center"/>
          </w:tcPr>
          <w:p w14:paraId="0843B38C"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144%</w:t>
            </w:r>
          </w:p>
        </w:tc>
      </w:tr>
      <w:tr w:rsidR="00650824" w:rsidRPr="000D6171" w14:paraId="795AFCAE" w14:textId="77777777" w:rsidTr="004F3C7F">
        <w:tc>
          <w:tcPr>
            <w:tcW w:w="394" w:type="pct"/>
            <w:shd w:val="clear" w:color="auto" w:fill="auto"/>
            <w:tcMar>
              <w:top w:w="0" w:type="dxa"/>
              <w:bottom w:w="0" w:type="dxa"/>
            </w:tcMar>
            <w:vAlign w:val="center"/>
          </w:tcPr>
          <w:p w14:paraId="7DABDC90"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4</w:t>
            </w:r>
          </w:p>
        </w:tc>
        <w:tc>
          <w:tcPr>
            <w:tcW w:w="1385" w:type="pct"/>
            <w:shd w:val="clear" w:color="auto" w:fill="auto"/>
            <w:tcMar>
              <w:top w:w="0" w:type="dxa"/>
              <w:bottom w:w="0" w:type="dxa"/>
            </w:tcMar>
            <w:vAlign w:val="center"/>
          </w:tcPr>
          <w:p w14:paraId="45397DF8"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Profit after tax</w:t>
            </w:r>
          </w:p>
        </w:tc>
        <w:tc>
          <w:tcPr>
            <w:tcW w:w="612" w:type="pct"/>
            <w:shd w:val="clear" w:color="auto" w:fill="auto"/>
            <w:tcMar>
              <w:top w:w="0" w:type="dxa"/>
              <w:bottom w:w="0" w:type="dxa"/>
            </w:tcMar>
            <w:vAlign w:val="center"/>
          </w:tcPr>
          <w:p w14:paraId="49A25E19"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Million VND</w:t>
            </w:r>
          </w:p>
        </w:tc>
        <w:tc>
          <w:tcPr>
            <w:tcW w:w="713" w:type="pct"/>
            <w:shd w:val="clear" w:color="auto" w:fill="auto"/>
            <w:tcMar>
              <w:top w:w="0" w:type="dxa"/>
              <w:bottom w:w="0" w:type="dxa"/>
            </w:tcMar>
            <w:vAlign w:val="center"/>
          </w:tcPr>
          <w:p w14:paraId="7500B81A" w14:textId="77777777" w:rsidR="00650824" w:rsidRPr="000D6171" w:rsidRDefault="00650824" w:rsidP="00F708F1">
            <w:pPr>
              <w:tabs>
                <w:tab w:val="left" w:pos="567"/>
              </w:tabs>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37A3A12D"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11,566</w:t>
            </w:r>
          </w:p>
        </w:tc>
        <w:tc>
          <w:tcPr>
            <w:tcW w:w="552" w:type="pct"/>
            <w:shd w:val="clear" w:color="auto" w:fill="auto"/>
            <w:tcMar>
              <w:top w:w="0" w:type="dxa"/>
              <w:bottom w:w="0" w:type="dxa"/>
            </w:tcMar>
            <w:vAlign w:val="center"/>
          </w:tcPr>
          <w:p w14:paraId="1B6B0C33" w14:textId="77777777" w:rsidR="00650824" w:rsidRPr="000D6171" w:rsidRDefault="00650824" w:rsidP="00F708F1">
            <w:pPr>
              <w:tabs>
                <w:tab w:val="left" w:pos="567"/>
              </w:tabs>
              <w:spacing w:after="120" w:line="360" w:lineRule="auto"/>
              <w:rPr>
                <w:rFonts w:ascii="Arial" w:eastAsia="Arial" w:hAnsi="Arial" w:cs="Arial"/>
                <w:color w:val="010000"/>
                <w:sz w:val="20"/>
                <w:szCs w:val="20"/>
              </w:rPr>
            </w:pPr>
          </w:p>
        </w:tc>
        <w:tc>
          <w:tcPr>
            <w:tcW w:w="628" w:type="pct"/>
            <w:shd w:val="clear" w:color="auto" w:fill="auto"/>
            <w:tcMar>
              <w:top w:w="0" w:type="dxa"/>
              <w:bottom w:w="0" w:type="dxa"/>
            </w:tcMar>
            <w:vAlign w:val="center"/>
          </w:tcPr>
          <w:p w14:paraId="74BFB3A0"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166%</w:t>
            </w:r>
          </w:p>
        </w:tc>
      </w:tr>
      <w:tr w:rsidR="00650824" w:rsidRPr="000D6171" w14:paraId="0E8A9012" w14:textId="77777777" w:rsidTr="004F3C7F">
        <w:tc>
          <w:tcPr>
            <w:tcW w:w="394" w:type="pct"/>
            <w:shd w:val="clear" w:color="auto" w:fill="auto"/>
            <w:tcMar>
              <w:top w:w="0" w:type="dxa"/>
              <w:bottom w:w="0" w:type="dxa"/>
            </w:tcMar>
            <w:vAlign w:val="center"/>
          </w:tcPr>
          <w:p w14:paraId="329C8D48"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5</w:t>
            </w:r>
          </w:p>
        </w:tc>
        <w:tc>
          <w:tcPr>
            <w:tcW w:w="1385" w:type="pct"/>
            <w:shd w:val="clear" w:color="auto" w:fill="auto"/>
            <w:tcMar>
              <w:top w:w="0" w:type="dxa"/>
              <w:bottom w:w="0" w:type="dxa"/>
            </w:tcMar>
            <w:vAlign w:val="center"/>
          </w:tcPr>
          <w:p w14:paraId="3AE4D68D"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Average salary/person/month:</w:t>
            </w:r>
          </w:p>
        </w:tc>
        <w:tc>
          <w:tcPr>
            <w:tcW w:w="612" w:type="pct"/>
            <w:shd w:val="clear" w:color="auto" w:fill="auto"/>
            <w:tcMar>
              <w:top w:w="0" w:type="dxa"/>
              <w:bottom w:w="0" w:type="dxa"/>
            </w:tcMar>
            <w:vAlign w:val="center"/>
          </w:tcPr>
          <w:p w14:paraId="7807BF6D"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Million VND</w:t>
            </w:r>
          </w:p>
        </w:tc>
        <w:tc>
          <w:tcPr>
            <w:tcW w:w="713" w:type="pct"/>
            <w:shd w:val="clear" w:color="auto" w:fill="auto"/>
            <w:tcMar>
              <w:top w:w="0" w:type="dxa"/>
              <w:bottom w:w="0" w:type="dxa"/>
            </w:tcMar>
            <w:vAlign w:val="center"/>
          </w:tcPr>
          <w:p w14:paraId="5C47C17E"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10.2</w:t>
            </w:r>
          </w:p>
        </w:tc>
        <w:tc>
          <w:tcPr>
            <w:tcW w:w="716" w:type="pct"/>
            <w:shd w:val="clear" w:color="auto" w:fill="auto"/>
            <w:tcMar>
              <w:top w:w="0" w:type="dxa"/>
              <w:bottom w:w="0" w:type="dxa"/>
            </w:tcMar>
            <w:vAlign w:val="center"/>
          </w:tcPr>
          <w:p w14:paraId="47D6D338"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15.3</w:t>
            </w:r>
          </w:p>
        </w:tc>
        <w:tc>
          <w:tcPr>
            <w:tcW w:w="552" w:type="pct"/>
            <w:shd w:val="clear" w:color="auto" w:fill="auto"/>
            <w:tcMar>
              <w:top w:w="0" w:type="dxa"/>
              <w:bottom w:w="0" w:type="dxa"/>
            </w:tcMar>
            <w:vAlign w:val="center"/>
          </w:tcPr>
          <w:p w14:paraId="1771DA05"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150%</w:t>
            </w:r>
          </w:p>
        </w:tc>
        <w:tc>
          <w:tcPr>
            <w:tcW w:w="628" w:type="pct"/>
            <w:shd w:val="clear" w:color="auto" w:fill="auto"/>
            <w:tcMar>
              <w:top w:w="0" w:type="dxa"/>
              <w:bottom w:w="0" w:type="dxa"/>
            </w:tcMar>
            <w:vAlign w:val="center"/>
          </w:tcPr>
          <w:p w14:paraId="05C5C105"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118%</w:t>
            </w:r>
          </w:p>
        </w:tc>
      </w:tr>
      <w:tr w:rsidR="00650824" w:rsidRPr="000D6171" w14:paraId="03B7A017" w14:textId="77777777" w:rsidTr="004F3C7F">
        <w:tc>
          <w:tcPr>
            <w:tcW w:w="394" w:type="pct"/>
            <w:shd w:val="clear" w:color="auto" w:fill="auto"/>
            <w:tcMar>
              <w:top w:w="0" w:type="dxa"/>
              <w:bottom w:w="0" w:type="dxa"/>
            </w:tcMar>
            <w:vAlign w:val="center"/>
          </w:tcPr>
          <w:p w14:paraId="74C5BF4E" w14:textId="77777777" w:rsidR="00650824" w:rsidRPr="000D6171" w:rsidRDefault="00650824"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385" w:type="pct"/>
            <w:shd w:val="clear" w:color="auto" w:fill="auto"/>
            <w:tcMar>
              <w:top w:w="0" w:type="dxa"/>
              <w:bottom w:w="0" w:type="dxa"/>
            </w:tcMar>
            <w:vAlign w:val="center"/>
          </w:tcPr>
          <w:p w14:paraId="6148F916"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Inventory as of Dec 31, 2023</w:t>
            </w:r>
          </w:p>
        </w:tc>
        <w:tc>
          <w:tcPr>
            <w:tcW w:w="612" w:type="pct"/>
            <w:shd w:val="clear" w:color="auto" w:fill="auto"/>
            <w:tcMar>
              <w:top w:w="0" w:type="dxa"/>
              <w:bottom w:w="0" w:type="dxa"/>
            </w:tcMar>
            <w:vAlign w:val="center"/>
          </w:tcPr>
          <w:p w14:paraId="4788B49B"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Tons</w:t>
            </w:r>
          </w:p>
        </w:tc>
        <w:tc>
          <w:tcPr>
            <w:tcW w:w="713" w:type="pct"/>
            <w:shd w:val="clear" w:color="auto" w:fill="auto"/>
            <w:tcMar>
              <w:top w:w="0" w:type="dxa"/>
              <w:bottom w:w="0" w:type="dxa"/>
            </w:tcMar>
            <w:vAlign w:val="center"/>
          </w:tcPr>
          <w:p w14:paraId="62858290" w14:textId="77777777" w:rsidR="00650824" w:rsidRPr="000D6171" w:rsidRDefault="00650824" w:rsidP="00F708F1">
            <w:pPr>
              <w:tabs>
                <w:tab w:val="left" w:pos="567"/>
              </w:tabs>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36EEA980"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553</w:t>
            </w:r>
          </w:p>
        </w:tc>
        <w:tc>
          <w:tcPr>
            <w:tcW w:w="552" w:type="pct"/>
            <w:shd w:val="clear" w:color="auto" w:fill="auto"/>
            <w:tcMar>
              <w:top w:w="0" w:type="dxa"/>
              <w:bottom w:w="0" w:type="dxa"/>
            </w:tcMar>
            <w:vAlign w:val="center"/>
          </w:tcPr>
          <w:p w14:paraId="7CE96F82" w14:textId="77777777" w:rsidR="00650824" w:rsidRPr="000D6171" w:rsidRDefault="00650824" w:rsidP="00F708F1">
            <w:pPr>
              <w:tabs>
                <w:tab w:val="left" w:pos="567"/>
              </w:tabs>
              <w:spacing w:after="120" w:line="360" w:lineRule="auto"/>
              <w:rPr>
                <w:rFonts w:ascii="Arial" w:eastAsia="Arial" w:hAnsi="Arial" w:cs="Arial"/>
                <w:color w:val="010000"/>
                <w:sz w:val="20"/>
                <w:szCs w:val="20"/>
              </w:rPr>
            </w:pPr>
          </w:p>
        </w:tc>
        <w:tc>
          <w:tcPr>
            <w:tcW w:w="628" w:type="pct"/>
            <w:shd w:val="clear" w:color="auto" w:fill="auto"/>
            <w:tcMar>
              <w:top w:w="0" w:type="dxa"/>
              <w:bottom w:w="0" w:type="dxa"/>
            </w:tcMar>
            <w:vAlign w:val="center"/>
          </w:tcPr>
          <w:p w14:paraId="2267D087" w14:textId="77777777" w:rsidR="00650824" w:rsidRPr="000D6171" w:rsidRDefault="00650824" w:rsidP="00F708F1">
            <w:pPr>
              <w:tabs>
                <w:tab w:val="left" w:pos="567"/>
              </w:tabs>
              <w:spacing w:after="120" w:line="360" w:lineRule="auto"/>
              <w:rPr>
                <w:rFonts w:ascii="Arial" w:eastAsia="Arial" w:hAnsi="Arial" w:cs="Arial"/>
                <w:color w:val="010000"/>
                <w:sz w:val="20"/>
                <w:szCs w:val="20"/>
              </w:rPr>
            </w:pPr>
          </w:p>
        </w:tc>
      </w:tr>
      <w:tr w:rsidR="00650824" w:rsidRPr="000D6171" w14:paraId="5100B37F" w14:textId="77777777" w:rsidTr="004F3C7F">
        <w:tc>
          <w:tcPr>
            <w:tcW w:w="394" w:type="pct"/>
            <w:shd w:val="clear" w:color="auto" w:fill="auto"/>
            <w:tcMar>
              <w:top w:w="0" w:type="dxa"/>
              <w:bottom w:w="0" w:type="dxa"/>
            </w:tcMar>
            <w:vAlign w:val="center"/>
          </w:tcPr>
          <w:p w14:paraId="36854C0D"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7</w:t>
            </w:r>
          </w:p>
        </w:tc>
        <w:tc>
          <w:tcPr>
            <w:tcW w:w="1385" w:type="pct"/>
            <w:shd w:val="clear" w:color="auto" w:fill="auto"/>
            <w:tcMar>
              <w:top w:w="0" w:type="dxa"/>
              <w:bottom w:w="0" w:type="dxa"/>
            </w:tcMar>
            <w:vAlign w:val="center"/>
          </w:tcPr>
          <w:p w14:paraId="32C36351"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Payables to State budget</w:t>
            </w:r>
          </w:p>
        </w:tc>
        <w:tc>
          <w:tcPr>
            <w:tcW w:w="612" w:type="pct"/>
            <w:shd w:val="clear" w:color="auto" w:fill="auto"/>
            <w:tcMar>
              <w:top w:w="0" w:type="dxa"/>
              <w:bottom w:w="0" w:type="dxa"/>
            </w:tcMar>
            <w:vAlign w:val="center"/>
          </w:tcPr>
          <w:p w14:paraId="0CC5F70A"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Million VND</w:t>
            </w:r>
          </w:p>
        </w:tc>
        <w:tc>
          <w:tcPr>
            <w:tcW w:w="713" w:type="pct"/>
            <w:shd w:val="clear" w:color="auto" w:fill="auto"/>
            <w:tcMar>
              <w:top w:w="0" w:type="dxa"/>
              <w:bottom w:w="0" w:type="dxa"/>
            </w:tcMar>
            <w:vAlign w:val="center"/>
          </w:tcPr>
          <w:p w14:paraId="21A30198" w14:textId="77777777" w:rsidR="00650824" w:rsidRPr="000D6171" w:rsidRDefault="00650824" w:rsidP="00F708F1">
            <w:pPr>
              <w:tabs>
                <w:tab w:val="left" w:pos="567"/>
              </w:tabs>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0580D839" w14:textId="77777777" w:rsidR="00650824" w:rsidRPr="000D6171" w:rsidRDefault="004F3C7F" w:rsidP="00F708F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0D6171">
              <w:rPr>
                <w:rFonts w:ascii="Arial" w:hAnsi="Arial" w:cs="Arial"/>
                <w:color w:val="010000"/>
                <w:sz w:val="20"/>
              </w:rPr>
              <w:t>32,970</w:t>
            </w:r>
          </w:p>
        </w:tc>
        <w:tc>
          <w:tcPr>
            <w:tcW w:w="552" w:type="pct"/>
            <w:shd w:val="clear" w:color="auto" w:fill="auto"/>
            <w:tcMar>
              <w:top w:w="0" w:type="dxa"/>
              <w:bottom w:w="0" w:type="dxa"/>
            </w:tcMar>
            <w:vAlign w:val="center"/>
          </w:tcPr>
          <w:p w14:paraId="3AF3B86E" w14:textId="77777777" w:rsidR="00650824" w:rsidRPr="000D6171" w:rsidRDefault="00650824" w:rsidP="00F708F1">
            <w:pPr>
              <w:tabs>
                <w:tab w:val="left" w:pos="567"/>
              </w:tabs>
              <w:spacing w:after="120" w:line="360" w:lineRule="auto"/>
              <w:rPr>
                <w:rFonts w:ascii="Arial" w:eastAsia="Arial" w:hAnsi="Arial" w:cs="Arial"/>
                <w:color w:val="010000"/>
                <w:sz w:val="20"/>
                <w:szCs w:val="20"/>
              </w:rPr>
            </w:pPr>
          </w:p>
        </w:tc>
        <w:tc>
          <w:tcPr>
            <w:tcW w:w="628" w:type="pct"/>
            <w:shd w:val="clear" w:color="auto" w:fill="auto"/>
            <w:tcMar>
              <w:top w:w="0" w:type="dxa"/>
              <w:bottom w:w="0" w:type="dxa"/>
            </w:tcMar>
            <w:vAlign w:val="center"/>
          </w:tcPr>
          <w:p w14:paraId="32F736DE" w14:textId="77777777" w:rsidR="00650824" w:rsidRPr="000D6171" w:rsidRDefault="00650824" w:rsidP="00F708F1">
            <w:pPr>
              <w:tabs>
                <w:tab w:val="left" w:pos="567"/>
              </w:tabs>
              <w:spacing w:after="120" w:line="360" w:lineRule="auto"/>
              <w:rPr>
                <w:rFonts w:ascii="Arial" w:eastAsia="Arial" w:hAnsi="Arial" w:cs="Arial"/>
                <w:color w:val="010000"/>
                <w:sz w:val="20"/>
                <w:szCs w:val="20"/>
              </w:rPr>
            </w:pPr>
          </w:p>
        </w:tc>
      </w:tr>
    </w:tbl>
    <w:p w14:paraId="22F2E89A" w14:textId="77777777" w:rsidR="00650824" w:rsidRPr="000D6171" w:rsidRDefault="004F3C7F" w:rsidP="00D603E7">
      <w:pPr>
        <w:numPr>
          <w:ilvl w:val="1"/>
          <w:numId w:val="5"/>
        </w:numPr>
        <w:pBdr>
          <w:top w:val="nil"/>
          <w:left w:val="nil"/>
          <w:bottom w:val="nil"/>
          <w:right w:val="nil"/>
          <w:between w:val="nil"/>
        </w:pBdr>
        <w:tabs>
          <w:tab w:val="left" w:pos="567"/>
          <w:tab w:val="left" w:pos="1198"/>
        </w:tabs>
        <w:spacing w:after="120" w:line="360" w:lineRule="auto"/>
        <w:jc w:val="both"/>
        <w:rPr>
          <w:rFonts w:ascii="Arial" w:eastAsia="Arial" w:hAnsi="Arial" w:cs="Arial"/>
          <w:color w:val="010000"/>
          <w:sz w:val="20"/>
          <w:szCs w:val="20"/>
        </w:rPr>
      </w:pPr>
      <w:r w:rsidRPr="000D6171">
        <w:rPr>
          <w:rFonts w:ascii="Arial" w:hAnsi="Arial" w:cs="Arial"/>
          <w:color w:val="010000"/>
          <w:sz w:val="20"/>
        </w:rPr>
        <w:t>Financial targets:</w:t>
      </w:r>
    </w:p>
    <w:p w14:paraId="5BD23123" w14:textId="77777777" w:rsidR="00650824" w:rsidRPr="000D6171" w:rsidRDefault="004F3C7F" w:rsidP="00D603E7">
      <w:pPr>
        <w:numPr>
          <w:ilvl w:val="0"/>
          <w:numId w:val="6"/>
        </w:numPr>
        <w:pBdr>
          <w:top w:val="nil"/>
          <w:left w:val="nil"/>
          <w:bottom w:val="nil"/>
          <w:right w:val="nil"/>
          <w:between w:val="nil"/>
        </w:pBdr>
        <w:tabs>
          <w:tab w:val="left" w:pos="567"/>
          <w:tab w:val="left" w:pos="832"/>
        </w:tabs>
        <w:spacing w:after="120" w:line="360" w:lineRule="auto"/>
        <w:jc w:val="both"/>
        <w:rPr>
          <w:rFonts w:ascii="Arial" w:eastAsia="Arial" w:hAnsi="Arial" w:cs="Arial"/>
          <w:color w:val="010000"/>
          <w:sz w:val="20"/>
          <w:szCs w:val="20"/>
        </w:rPr>
      </w:pPr>
      <w:r w:rsidRPr="000D6171">
        <w:rPr>
          <w:rFonts w:ascii="Arial" w:hAnsi="Arial" w:cs="Arial"/>
          <w:color w:val="010000"/>
          <w:sz w:val="20"/>
        </w:rPr>
        <w:t>Gross profit margin/net revenue 1.69%;</w:t>
      </w:r>
    </w:p>
    <w:p w14:paraId="29B3F9B6" w14:textId="77777777" w:rsidR="00650824" w:rsidRPr="000D6171" w:rsidRDefault="004F3C7F" w:rsidP="00D603E7">
      <w:pPr>
        <w:numPr>
          <w:ilvl w:val="0"/>
          <w:numId w:val="6"/>
        </w:numPr>
        <w:pBdr>
          <w:top w:val="nil"/>
          <w:left w:val="nil"/>
          <w:bottom w:val="nil"/>
          <w:right w:val="nil"/>
          <w:between w:val="nil"/>
        </w:pBdr>
        <w:tabs>
          <w:tab w:val="left" w:pos="567"/>
          <w:tab w:val="left" w:pos="832"/>
        </w:tabs>
        <w:spacing w:after="120" w:line="360" w:lineRule="auto"/>
        <w:jc w:val="both"/>
        <w:rPr>
          <w:rFonts w:ascii="Arial" w:eastAsia="Arial" w:hAnsi="Arial" w:cs="Arial"/>
          <w:color w:val="010000"/>
          <w:sz w:val="20"/>
          <w:szCs w:val="20"/>
        </w:rPr>
      </w:pPr>
      <w:r w:rsidRPr="000D6171">
        <w:rPr>
          <w:rFonts w:ascii="Arial" w:hAnsi="Arial" w:cs="Arial"/>
          <w:color w:val="010000"/>
          <w:sz w:val="20"/>
        </w:rPr>
        <w:t>Expense rate/net revenue 1.53%;</w:t>
      </w:r>
    </w:p>
    <w:p w14:paraId="787F8777" w14:textId="77777777" w:rsidR="00650824" w:rsidRPr="000D6171" w:rsidRDefault="004F3C7F" w:rsidP="00D603E7">
      <w:pPr>
        <w:numPr>
          <w:ilvl w:val="0"/>
          <w:numId w:val="6"/>
        </w:numPr>
        <w:pBdr>
          <w:top w:val="nil"/>
          <w:left w:val="nil"/>
          <w:bottom w:val="nil"/>
          <w:right w:val="nil"/>
          <w:between w:val="nil"/>
        </w:pBdr>
        <w:tabs>
          <w:tab w:val="left" w:pos="567"/>
          <w:tab w:val="left" w:pos="832"/>
        </w:tabs>
        <w:spacing w:after="120" w:line="360" w:lineRule="auto"/>
        <w:jc w:val="both"/>
        <w:rPr>
          <w:rFonts w:ascii="Arial" w:eastAsia="Arial" w:hAnsi="Arial" w:cs="Arial"/>
          <w:color w:val="010000"/>
          <w:sz w:val="20"/>
          <w:szCs w:val="20"/>
        </w:rPr>
      </w:pPr>
      <w:r w:rsidRPr="000D6171">
        <w:rPr>
          <w:rFonts w:ascii="Arial" w:hAnsi="Arial" w:cs="Arial"/>
          <w:color w:val="010000"/>
          <w:sz w:val="20"/>
        </w:rPr>
        <w:t>Return on equity before tax/charter capital: 16.69%;</w:t>
      </w:r>
    </w:p>
    <w:p w14:paraId="4F7CE3F4" w14:textId="77777777" w:rsidR="00650824" w:rsidRPr="000D6171" w:rsidRDefault="004F3C7F" w:rsidP="00D603E7">
      <w:pPr>
        <w:numPr>
          <w:ilvl w:val="0"/>
          <w:numId w:val="6"/>
        </w:numPr>
        <w:pBdr>
          <w:top w:val="nil"/>
          <w:left w:val="nil"/>
          <w:bottom w:val="nil"/>
          <w:right w:val="nil"/>
          <w:between w:val="nil"/>
        </w:pBdr>
        <w:tabs>
          <w:tab w:val="left" w:pos="567"/>
          <w:tab w:val="left" w:pos="832"/>
        </w:tabs>
        <w:spacing w:after="120" w:line="360" w:lineRule="auto"/>
        <w:jc w:val="both"/>
        <w:rPr>
          <w:rFonts w:ascii="Arial" w:eastAsia="Arial" w:hAnsi="Arial" w:cs="Arial"/>
          <w:color w:val="010000"/>
          <w:sz w:val="20"/>
          <w:szCs w:val="20"/>
        </w:rPr>
      </w:pPr>
      <w:r w:rsidRPr="000D6171">
        <w:rPr>
          <w:rFonts w:ascii="Arial" w:hAnsi="Arial" w:cs="Arial"/>
          <w:color w:val="010000"/>
          <w:sz w:val="20"/>
        </w:rPr>
        <w:t>Return on average equity after tax: 11.08%;</w:t>
      </w:r>
    </w:p>
    <w:p w14:paraId="0541EE12" w14:textId="77777777" w:rsidR="00650824" w:rsidRPr="000D6171" w:rsidRDefault="004F3C7F" w:rsidP="00D603E7">
      <w:pPr>
        <w:numPr>
          <w:ilvl w:val="0"/>
          <w:numId w:val="6"/>
        </w:numPr>
        <w:pBdr>
          <w:top w:val="nil"/>
          <w:left w:val="nil"/>
          <w:bottom w:val="nil"/>
          <w:right w:val="nil"/>
          <w:between w:val="nil"/>
        </w:pBdr>
        <w:tabs>
          <w:tab w:val="left" w:pos="567"/>
          <w:tab w:val="left" w:pos="832"/>
        </w:tabs>
        <w:spacing w:after="120" w:line="360" w:lineRule="auto"/>
        <w:jc w:val="both"/>
        <w:rPr>
          <w:rFonts w:ascii="Arial" w:eastAsia="Arial" w:hAnsi="Arial" w:cs="Arial"/>
          <w:color w:val="010000"/>
          <w:sz w:val="20"/>
          <w:szCs w:val="20"/>
        </w:rPr>
      </w:pPr>
      <w:r w:rsidRPr="000D6171">
        <w:rPr>
          <w:rFonts w:ascii="Arial" w:hAnsi="Arial" w:cs="Arial"/>
          <w:color w:val="010000"/>
          <w:sz w:val="20"/>
        </w:rPr>
        <w:t>Working capital turnover: 10.8 rounds</w:t>
      </w:r>
    </w:p>
    <w:p w14:paraId="4D56E7A1" w14:textId="77777777" w:rsidR="00650824" w:rsidRPr="000D6171" w:rsidRDefault="004F3C7F" w:rsidP="00D603E7">
      <w:pPr>
        <w:numPr>
          <w:ilvl w:val="0"/>
          <w:numId w:val="6"/>
        </w:numPr>
        <w:pBdr>
          <w:top w:val="nil"/>
          <w:left w:val="nil"/>
          <w:bottom w:val="nil"/>
          <w:right w:val="nil"/>
          <w:between w:val="nil"/>
        </w:pBdr>
        <w:tabs>
          <w:tab w:val="left" w:pos="567"/>
          <w:tab w:val="left" w:pos="832"/>
        </w:tabs>
        <w:spacing w:after="120" w:line="360" w:lineRule="auto"/>
        <w:jc w:val="both"/>
        <w:rPr>
          <w:rFonts w:ascii="Arial" w:eastAsia="Arial" w:hAnsi="Arial" w:cs="Arial"/>
          <w:color w:val="010000"/>
          <w:sz w:val="20"/>
          <w:szCs w:val="20"/>
        </w:rPr>
      </w:pPr>
      <w:r w:rsidRPr="000D6171">
        <w:rPr>
          <w:rFonts w:ascii="Arial" w:hAnsi="Arial" w:cs="Arial"/>
          <w:color w:val="010000"/>
          <w:sz w:val="20"/>
        </w:rPr>
        <w:t>Debt to equity rate: 3.29 times.</w:t>
      </w:r>
    </w:p>
    <w:p w14:paraId="1A00E315" w14:textId="431A4458" w:rsidR="00650824" w:rsidRPr="000D6171" w:rsidRDefault="004F3C7F" w:rsidP="00D603E7">
      <w:pPr>
        <w:numPr>
          <w:ilvl w:val="0"/>
          <w:numId w:val="6"/>
        </w:numPr>
        <w:pBdr>
          <w:top w:val="nil"/>
          <w:left w:val="nil"/>
          <w:bottom w:val="nil"/>
          <w:right w:val="nil"/>
          <w:between w:val="nil"/>
        </w:pBdr>
        <w:tabs>
          <w:tab w:val="left" w:pos="567"/>
          <w:tab w:val="left" w:pos="848"/>
        </w:tabs>
        <w:spacing w:after="120" w:line="360" w:lineRule="auto"/>
        <w:jc w:val="both"/>
        <w:rPr>
          <w:rFonts w:ascii="Arial" w:eastAsia="Arial" w:hAnsi="Arial" w:cs="Arial"/>
          <w:color w:val="010000"/>
          <w:sz w:val="20"/>
          <w:szCs w:val="20"/>
        </w:rPr>
      </w:pPr>
      <w:r w:rsidRPr="000D6171">
        <w:rPr>
          <w:rFonts w:ascii="Arial" w:hAnsi="Arial" w:cs="Arial"/>
          <w:color w:val="010000"/>
          <w:sz w:val="20"/>
        </w:rPr>
        <w:t>Total receivables as of December 31, 2023: VND 409,185 million (an increase of VND 52,930 million compared to January 1, 2023). In which: Bad debts &gt; 6 months: VND 47,519 million; Provision made: VND 42,834 million (accounting for 90.1% of bad debts &gt; 6 months).</w:t>
      </w:r>
    </w:p>
    <w:p w14:paraId="2F145D12" w14:textId="77777777" w:rsidR="00650824" w:rsidRPr="000D6171" w:rsidRDefault="004F3C7F" w:rsidP="00D603E7">
      <w:pPr>
        <w:numPr>
          <w:ilvl w:val="0"/>
          <w:numId w:val="5"/>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Plan to implement targets for business activities:</w:t>
      </w:r>
    </w:p>
    <w:p w14:paraId="3B43371C" w14:textId="77777777" w:rsidR="00650824" w:rsidRPr="000D6171" w:rsidRDefault="004F3C7F" w:rsidP="00D603E7">
      <w:pPr>
        <w:numPr>
          <w:ilvl w:val="0"/>
          <w:numId w:val="6"/>
        </w:numPr>
        <w:pBdr>
          <w:top w:val="nil"/>
          <w:left w:val="nil"/>
          <w:bottom w:val="nil"/>
          <w:right w:val="nil"/>
          <w:between w:val="nil"/>
        </w:pBdr>
        <w:tabs>
          <w:tab w:val="left" w:pos="567"/>
          <w:tab w:val="left" w:pos="832"/>
        </w:tabs>
        <w:spacing w:after="120" w:line="360" w:lineRule="auto"/>
        <w:jc w:val="both"/>
        <w:rPr>
          <w:rFonts w:ascii="Arial" w:eastAsia="Arial" w:hAnsi="Arial" w:cs="Arial"/>
          <w:color w:val="010000"/>
          <w:sz w:val="20"/>
          <w:szCs w:val="20"/>
        </w:rPr>
      </w:pPr>
      <w:r w:rsidRPr="000D6171">
        <w:rPr>
          <w:rFonts w:ascii="Arial" w:hAnsi="Arial" w:cs="Arial"/>
          <w:color w:val="010000"/>
          <w:sz w:val="20"/>
        </w:rPr>
        <w:t>Consumption: 220,000 tons.</w:t>
      </w:r>
    </w:p>
    <w:p w14:paraId="1CA5F029" w14:textId="4C6470C7" w:rsidR="00650824" w:rsidRPr="000D6171" w:rsidRDefault="004F3C7F" w:rsidP="00D603E7">
      <w:pPr>
        <w:numPr>
          <w:ilvl w:val="0"/>
          <w:numId w:val="6"/>
        </w:numPr>
        <w:pBdr>
          <w:top w:val="nil"/>
          <w:left w:val="nil"/>
          <w:bottom w:val="nil"/>
          <w:right w:val="nil"/>
          <w:between w:val="nil"/>
        </w:pBdr>
        <w:tabs>
          <w:tab w:val="left" w:pos="567"/>
          <w:tab w:val="left" w:pos="832"/>
        </w:tabs>
        <w:spacing w:after="120" w:line="360" w:lineRule="auto"/>
        <w:jc w:val="both"/>
        <w:rPr>
          <w:rFonts w:ascii="Arial" w:eastAsia="Arial" w:hAnsi="Arial" w:cs="Arial"/>
          <w:color w:val="010000"/>
          <w:sz w:val="20"/>
          <w:szCs w:val="20"/>
        </w:rPr>
      </w:pPr>
      <w:r w:rsidRPr="000D6171">
        <w:rPr>
          <w:rFonts w:ascii="Arial" w:hAnsi="Arial" w:cs="Arial"/>
          <w:color w:val="010000"/>
          <w:sz w:val="20"/>
        </w:rPr>
        <w:lastRenderedPageBreak/>
        <w:t>Revenue: VND 3,079,100 million;</w:t>
      </w:r>
    </w:p>
    <w:p w14:paraId="24FB1735"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In which: Revenue from services: VND 45,000 million;</w:t>
      </w:r>
    </w:p>
    <w:p w14:paraId="4FB61C94" w14:textId="77777777" w:rsidR="00650824" w:rsidRPr="000D6171" w:rsidRDefault="004F3C7F" w:rsidP="00D603E7">
      <w:pPr>
        <w:numPr>
          <w:ilvl w:val="0"/>
          <w:numId w:val="6"/>
        </w:numPr>
        <w:pBdr>
          <w:top w:val="nil"/>
          <w:left w:val="nil"/>
          <w:bottom w:val="nil"/>
          <w:right w:val="nil"/>
          <w:between w:val="nil"/>
        </w:pBdr>
        <w:tabs>
          <w:tab w:val="left" w:pos="567"/>
          <w:tab w:val="left" w:pos="832"/>
        </w:tabs>
        <w:spacing w:after="120" w:line="360" w:lineRule="auto"/>
        <w:jc w:val="both"/>
        <w:rPr>
          <w:rFonts w:ascii="Arial" w:eastAsia="Arial" w:hAnsi="Arial" w:cs="Arial"/>
          <w:color w:val="010000"/>
          <w:sz w:val="20"/>
          <w:szCs w:val="20"/>
        </w:rPr>
      </w:pPr>
      <w:r w:rsidRPr="000D6171">
        <w:rPr>
          <w:rFonts w:ascii="Arial" w:hAnsi="Arial" w:cs="Arial"/>
          <w:color w:val="010000"/>
          <w:sz w:val="20"/>
        </w:rPr>
        <w:t>Profit before tax: VND 10,000 million;</w:t>
      </w:r>
    </w:p>
    <w:p w14:paraId="187328D1" w14:textId="410E7ACC"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Article 2: Agree on approving the Report of the Company's Supervisory Board submitted to the </w:t>
      </w:r>
      <w:r w:rsidR="00D603E7">
        <w:rPr>
          <w:rFonts w:ascii="Arial" w:hAnsi="Arial" w:cs="Arial"/>
          <w:color w:val="010000"/>
          <w:sz w:val="20"/>
        </w:rPr>
        <w:t>General Meeting</w:t>
      </w:r>
      <w:r w:rsidRPr="000D6171">
        <w:rPr>
          <w:rFonts w:ascii="Arial" w:hAnsi="Arial" w:cs="Arial"/>
          <w:color w:val="010000"/>
          <w:sz w:val="20"/>
        </w:rPr>
        <w:t xml:space="preserve">. </w:t>
      </w:r>
    </w:p>
    <w:p w14:paraId="14F1A59B"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3: Agree on approving the Company's 2023 audited Financial Statements.</w:t>
      </w:r>
    </w:p>
    <w:p w14:paraId="156AF052"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4: Agree on approving the plan to distribute profit after tax in 2023, set up funds and plan to pay dividends in 2024, specifically:</w:t>
      </w:r>
    </w:p>
    <w:p w14:paraId="4292386E" w14:textId="77777777" w:rsidR="00650824" w:rsidRPr="000D6171" w:rsidRDefault="004F3C7F" w:rsidP="00D603E7">
      <w:pPr>
        <w:numPr>
          <w:ilvl w:val="0"/>
          <w:numId w:val="1"/>
        </w:numPr>
        <w:pBdr>
          <w:top w:val="nil"/>
          <w:left w:val="nil"/>
          <w:bottom w:val="nil"/>
          <w:right w:val="nil"/>
          <w:between w:val="nil"/>
        </w:pBdr>
        <w:tabs>
          <w:tab w:val="left" w:pos="567"/>
          <w:tab w:val="left" w:pos="1229"/>
        </w:tabs>
        <w:spacing w:after="120" w:line="360" w:lineRule="auto"/>
        <w:jc w:val="both"/>
        <w:rPr>
          <w:rFonts w:ascii="Arial" w:eastAsia="Arial" w:hAnsi="Arial" w:cs="Arial"/>
          <w:color w:val="010000"/>
          <w:sz w:val="20"/>
          <w:szCs w:val="20"/>
        </w:rPr>
      </w:pPr>
      <w:r w:rsidRPr="000D6171">
        <w:rPr>
          <w:rFonts w:ascii="Arial" w:hAnsi="Arial" w:cs="Arial"/>
          <w:color w:val="010000"/>
          <w:sz w:val="20"/>
        </w:rPr>
        <w:t>Dividend payment in 2023:</w:t>
      </w:r>
    </w:p>
    <w:p w14:paraId="7E8BA81A" w14:textId="47F78FB4" w:rsidR="00650824" w:rsidRPr="000D6171" w:rsidRDefault="004F3C7F" w:rsidP="00D603E7">
      <w:pPr>
        <w:numPr>
          <w:ilvl w:val="0"/>
          <w:numId w:val="6"/>
        </w:numPr>
        <w:pBdr>
          <w:top w:val="nil"/>
          <w:left w:val="nil"/>
          <w:bottom w:val="nil"/>
          <w:right w:val="nil"/>
          <w:between w:val="nil"/>
        </w:pBdr>
        <w:tabs>
          <w:tab w:val="left" w:pos="567"/>
          <w:tab w:val="left" w:pos="1128"/>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Pay cash dividend (8%): VND 7,200,000,000, </w:t>
      </w:r>
      <w:r w:rsidR="00D603E7">
        <w:rPr>
          <w:rFonts w:ascii="Arial" w:hAnsi="Arial" w:cs="Arial"/>
          <w:color w:val="010000"/>
          <w:sz w:val="20"/>
        </w:rPr>
        <w:t xml:space="preserve">at an </w:t>
      </w:r>
      <w:proofErr w:type="spellStart"/>
      <w:r w:rsidR="00D603E7">
        <w:rPr>
          <w:rFonts w:ascii="Arial" w:hAnsi="Arial" w:cs="Arial"/>
          <w:color w:val="010000"/>
          <w:sz w:val="20"/>
        </w:rPr>
        <w:t>exercis</w:t>
      </w:r>
      <w:proofErr w:type="spellEnd"/>
      <w:r w:rsidRPr="000D6171">
        <w:rPr>
          <w:rFonts w:ascii="Arial" w:hAnsi="Arial" w:cs="Arial"/>
          <w:color w:val="010000"/>
          <w:sz w:val="20"/>
        </w:rPr>
        <w:t xml:space="preserve"> rate of 62%</w:t>
      </w:r>
    </w:p>
    <w:p w14:paraId="4EBCECF9" w14:textId="77777777" w:rsidR="00650824" w:rsidRPr="000D6171" w:rsidRDefault="004F3C7F" w:rsidP="00D603E7">
      <w:pPr>
        <w:numPr>
          <w:ilvl w:val="0"/>
          <w:numId w:val="6"/>
        </w:numPr>
        <w:pBdr>
          <w:top w:val="nil"/>
          <w:left w:val="nil"/>
          <w:bottom w:val="nil"/>
          <w:right w:val="nil"/>
          <w:between w:val="nil"/>
        </w:pBdr>
        <w:tabs>
          <w:tab w:val="left" w:pos="567"/>
          <w:tab w:val="left" w:pos="1128"/>
        </w:tabs>
        <w:spacing w:after="120" w:line="360" w:lineRule="auto"/>
        <w:jc w:val="both"/>
        <w:rPr>
          <w:rFonts w:ascii="Arial" w:eastAsia="Arial" w:hAnsi="Arial" w:cs="Arial"/>
          <w:color w:val="010000"/>
          <w:sz w:val="20"/>
          <w:szCs w:val="20"/>
        </w:rPr>
      </w:pPr>
      <w:r w:rsidRPr="000D6171">
        <w:rPr>
          <w:rFonts w:ascii="Arial" w:hAnsi="Arial" w:cs="Arial"/>
          <w:color w:val="010000"/>
          <w:sz w:val="20"/>
        </w:rPr>
        <w:t>Time to finalize the list of shareholders on the record date to exercise the right to pay dividends for 2023 in cash: May 06, 2024</w:t>
      </w:r>
    </w:p>
    <w:p w14:paraId="40DBEC4A" w14:textId="03637370" w:rsidR="00650824" w:rsidRPr="000D6171" w:rsidRDefault="004F3C7F" w:rsidP="00D603E7">
      <w:pPr>
        <w:numPr>
          <w:ilvl w:val="0"/>
          <w:numId w:val="6"/>
        </w:numPr>
        <w:pBdr>
          <w:top w:val="nil"/>
          <w:left w:val="nil"/>
          <w:bottom w:val="nil"/>
          <w:right w:val="nil"/>
          <w:between w:val="nil"/>
        </w:pBdr>
        <w:tabs>
          <w:tab w:val="left" w:pos="567"/>
          <w:tab w:val="left" w:pos="1128"/>
        </w:tabs>
        <w:spacing w:after="120" w:line="360" w:lineRule="auto"/>
        <w:jc w:val="both"/>
        <w:rPr>
          <w:rFonts w:ascii="Arial" w:eastAsia="Arial" w:hAnsi="Arial" w:cs="Arial"/>
          <w:color w:val="010000"/>
          <w:sz w:val="20"/>
          <w:szCs w:val="20"/>
        </w:rPr>
      </w:pPr>
      <w:r w:rsidRPr="000D6171">
        <w:rPr>
          <w:rFonts w:ascii="Arial" w:hAnsi="Arial" w:cs="Arial"/>
          <w:color w:val="010000"/>
          <w:sz w:val="20"/>
        </w:rPr>
        <w:t>Dividend payment date: Expected from June 01, 2024 to June 30, 2024.</w:t>
      </w:r>
    </w:p>
    <w:p w14:paraId="5004B8EF" w14:textId="66A8EDBD" w:rsidR="00650824" w:rsidRPr="000D6171" w:rsidRDefault="004F3C7F" w:rsidP="00D603E7">
      <w:pPr>
        <w:numPr>
          <w:ilvl w:val="0"/>
          <w:numId w:val="6"/>
        </w:numPr>
        <w:pBdr>
          <w:top w:val="nil"/>
          <w:left w:val="nil"/>
          <w:bottom w:val="nil"/>
          <w:right w:val="nil"/>
          <w:between w:val="nil"/>
        </w:pBdr>
        <w:tabs>
          <w:tab w:val="left" w:pos="567"/>
          <w:tab w:val="left" w:pos="1125"/>
        </w:tabs>
        <w:spacing w:after="120" w:line="360" w:lineRule="auto"/>
        <w:jc w:val="both"/>
        <w:rPr>
          <w:rFonts w:ascii="Arial" w:eastAsia="Arial" w:hAnsi="Arial" w:cs="Arial"/>
          <w:color w:val="010000"/>
          <w:sz w:val="20"/>
          <w:szCs w:val="20"/>
        </w:rPr>
      </w:pPr>
      <w:r w:rsidRPr="000D6171">
        <w:rPr>
          <w:rFonts w:ascii="Arial" w:hAnsi="Arial" w:cs="Arial"/>
          <w:color w:val="010000"/>
          <w:sz w:val="20"/>
        </w:rPr>
        <w:t>Subjects of the payment: existing sha</w:t>
      </w:r>
      <w:r w:rsidR="00D603E7">
        <w:rPr>
          <w:rFonts w:ascii="Arial" w:hAnsi="Arial" w:cs="Arial"/>
          <w:color w:val="010000"/>
          <w:sz w:val="20"/>
        </w:rPr>
        <w:t>reholders according to the</w:t>
      </w:r>
      <w:r w:rsidRPr="000D6171">
        <w:rPr>
          <w:rFonts w:ascii="Arial" w:hAnsi="Arial" w:cs="Arial"/>
          <w:color w:val="010000"/>
          <w:sz w:val="20"/>
        </w:rPr>
        <w:t xml:space="preserve"> list of Vietnam Securities Depository and Clearing Corporation (VSDC).</w:t>
      </w:r>
    </w:p>
    <w:p w14:paraId="603791CC" w14:textId="77777777" w:rsidR="00650824" w:rsidRPr="000D6171" w:rsidRDefault="004F3C7F" w:rsidP="00D603E7">
      <w:pPr>
        <w:numPr>
          <w:ilvl w:val="0"/>
          <w:numId w:val="1"/>
        </w:numPr>
        <w:pBdr>
          <w:top w:val="nil"/>
          <w:left w:val="nil"/>
          <w:bottom w:val="nil"/>
          <w:right w:val="nil"/>
          <w:between w:val="nil"/>
        </w:pBdr>
        <w:tabs>
          <w:tab w:val="left" w:pos="567"/>
          <w:tab w:val="left" w:pos="1247"/>
        </w:tabs>
        <w:spacing w:after="120" w:line="360" w:lineRule="auto"/>
        <w:jc w:val="both"/>
        <w:rPr>
          <w:rFonts w:ascii="Arial" w:eastAsia="Arial" w:hAnsi="Arial" w:cs="Arial"/>
          <w:color w:val="010000"/>
          <w:sz w:val="20"/>
          <w:szCs w:val="20"/>
        </w:rPr>
      </w:pPr>
      <w:r w:rsidRPr="000D6171">
        <w:rPr>
          <w:rFonts w:ascii="Arial" w:hAnsi="Arial" w:cs="Arial"/>
          <w:color w:val="010000"/>
          <w:sz w:val="20"/>
        </w:rPr>
        <w:t>Appropriation for bonus and welfare funds</w:t>
      </w:r>
    </w:p>
    <w:p w14:paraId="4EE12B4E" w14:textId="77777777" w:rsidR="00650824" w:rsidRPr="000D6171" w:rsidRDefault="004F3C7F" w:rsidP="00D603E7">
      <w:pPr>
        <w:numPr>
          <w:ilvl w:val="0"/>
          <w:numId w:val="6"/>
        </w:numPr>
        <w:pBdr>
          <w:top w:val="nil"/>
          <w:left w:val="nil"/>
          <w:bottom w:val="nil"/>
          <w:right w:val="nil"/>
          <w:between w:val="nil"/>
        </w:pBdr>
        <w:tabs>
          <w:tab w:val="left" w:pos="567"/>
          <w:tab w:val="left" w:pos="1132"/>
        </w:tabs>
        <w:spacing w:after="120" w:line="360" w:lineRule="auto"/>
        <w:jc w:val="both"/>
        <w:rPr>
          <w:rFonts w:ascii="Arial" w:eastAsia="Arial" w:hAnsi="Arial" w:cs="Arial"/>
          <w:color w:val="010000"/>
          <w:sz w:val="20"/>
          <w:szCs w:val="20"/>
        </w:rPr>
      </w:pPr>
      <w:r w:rsidRPr="000D6171">
        <w:rPr>
          <w:rFonts w:ascii="Arial" w:hAnsi="Arial" w:cs="Arial"/>
          <w:color w:val="010000"/>
          <w:sz w:val="20"/>
        </w:rPr>
        <w:t>Appropriation for bonus and welfare fund: VND 1,500,000,000, with the rate of 13%</w:t>
      </w:r>
    </w:p>
    <w:p w14:paraId="2F473444" w14:textId="77777777" w:rsidR="00650824" w:rsidRPr="000D6171" w:rsidRDefault="004F3C7F" w:rsidP="00D603E7">
      <w:pPr>
        <w:numPr>
          <w:ilvl w:val="0"/>
          <w:numId w:val="6"/>
        </w:numPr>
        <w:pBdr>
          <w:top w:val="nil"/>
          <w:left w:val="nil"/>
          <w:bottom w:val="nil"/>
          <w:right w:val="nil"/>
          <w:between w:val="nil"/>
        </w:pBdr>
        <w:tabs>
          <w:tab w:val="left" w:pos="567"/>
          <w:tab w:val="left" w:pos="1132"/>
        </w:tabs>
        <w:spacing w:after="120" w:line="360" w:lineRule="auto"/>
        <w:jc w:val="both"/>
        <w:rPr>
          <w:rFonts w:ascii="Arial" w:eastAsia="Arial" w:hAnsi="Arial" w:cs="Arial"/>
          <w:color w:val="010000"/>
          <w:sz w:val="20"/>
          <w:szCs w:val="20"/>
        </w:rPr>
      </w:pPr>
      <w:r w:rsidRPr="000D6171">
        <w:rPr>
          <w:rFonts w:ascii="Arial" w:hAnsi="Arial" w:cs="Arial"/>
          <w:color w:val="010000"/>
          <w:sz w:val="20"/>
        </w:rPr>
        <w:t>Appropriation for bonus fund of the managers VND 169,000,000. Rate: 1.5%</w:t>
      </w:r>
    </w:p>
    <w:p w14:paraId="59ACE1E1"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Undistributed profit after tax carried forward to 2024: VND 4,225,689,438.</w:t>
      </w:r>
    </w:p>
    <w:p w14:paraId="58625206" w14:textId="77777777" w:rsidR="00650824" w:rsidRPr="000D6171" w:rsidRDefault="004F3C7F" w:rsidP="00D603E7">
      <w:pPr>
        <w:keepNext/>
        <w:numPr>
          <w:ilvl w:val="0"/>
          <w:numId w:val="1"/>
        </w:numPr>
        <w:pBdr>
          <w:top w:val="nil"/>
          <w:left w:val="nil"/>
          <w:bottom w:val="nil"/>
          <w:right w:val="nil"/>
          <w:between w:val="nil"/>
        </w:pBdr>
        <w:tabs>
          <w:tab w:val="left" w:pos="567"/>
          <w:tab w:val="left" w:pos="1114"/>
        </w:tabs>
        <w:spacing w:after="120" w:line="360" w:lineRule="auto"/>
        <w:jc w:val="both"/>
        <w:rPr>
          <w:rFonts w:ascii="Arial" w:eastAsia="Arial" w:hAnsi="Arial" w:cs="Arial"/>
          <w:color w:val="010000"/>
          <w:sz w:val="20"/>
          <w:szCs w:val="20"/>
        </w:rPr>
      </w:pPr>
      <w:r w:rsidRPr="000D6171">
        <w:rPr>
          <w:rFonts w:ascii="Arial" w:hAnsi="Arial" w:cs="Arial"/>
          <w:color w:val="010000"/>
          <w:sz w:val="20"/>
        </w:rPr>
        <w:t>Dividend payment plan in 2024.</w:t>
      </w:r>
    </w:p>
    <w:p w14:paraId="4EF18F7D" w14:textId="3354E6F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The </w:t>
      </w:r>
      <w:r w:rsidR="00D603E7">
        <w:rPr>
          <w:rFonts w:ascii="Arial" w:hAnsi="Arial" w:cs="Arial"/>
          <w:color w:val="010000"/>
          <w:sz w:val="20"/>
        </w:rPr>
        <w:t>General Meeting</w:t>
      </w:r>
      <w:r w:rsidRPr="000D6171">
        <w:rPr>
          <w:rFonts w:ascii="Arial" w:hAnsi="Arial" w:cs="Arial"/>
          <w:color w:val="010000"/>
          <w:sz w:val="20"/>
        </w:rPr>
        <w:t xml:space="preserve"> approves the plan for dividend payment rate in 2024: 7% (seven percent)</w:t>
      </w:r>
    </w:p>
    <w:p w14:paraId="241A8A0D"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5: Agree on approving the Company's 2024 business plan, investment and development plan and financial plan (Proposal No. 578/TTr-HNS dated April 9, 2024 of the Company's Board of Directors), with the following main targets:</w:t>
      </w:r>
    </w:p>
    <w:p w14:paraId="292ECDD2" w14:textId="77777777" w:rsidR="00650824" w:rsidRPr="000D6171" w:rsidRDefault="004F3C7F" w:rsidP="00D603E7">
      <w:pPr>
        <w:keepNext/>
        <w:numPr>
          <w:ilvl w:val="0"/>
          <w:numId w:val="2"/>
        </w:numPr>
        <w:pBdr>
          <w:top w:val="nil"/>
          <w:left w:val="nil"/>
          <w:bottom w:val="nil"/>
          <w:right w:val="nil"/>
          <w:between w:val="nil"/>
        </w:pBdr>
        <w:tabs>
          <w:tab w:val="left" w:pos="567"/>
          <w:tab w:val="left" w:pos="1104"/>
        </w:tabs>
        <w:spacing w:after="120" w:line="360" w:lineRule="auto"/>
        <w:jc w:val="both"/>
        <w:rPr>
          <w:rFonts w:ascii="Arial" w:eastAsia="Arial" w:hAnsi="Arial" w:cs="Arial"/>
          <w:color w:val="010000"/>
          <w:sz w:val="20"/>
          <w:szCs w:val="20"/>
        </w:rPr>
      </w:pPr>
      <w:r w:rsidRPr="000D6171">
        <w:rPr>
          <w:rFonts w:ascii="Arial" w:hAnsi="Arial" w:cs="Arial"/>
          <w:color w:val="010000"/>
          <w:sz w:val="20"/>
        </w:rPr>
        <w:t>Business plan:</w:t>
      </w:r>
    </w:p>
    <w:p w14:paraId="039AB481" w14:textId="77777777" w:rsidR="00650824" w:rsidRPr="000D6171" w:rsidRDefault="004F3C7F" w:rsidP="00D603E7">
      <w:pPr>
        <w:numPr>
          <w:ilvl w:val="0"/>
          <w:numId w:val="6"/>
        </w:numPr>
        <w:pBdr>
          <w:top w:val="nil"/>
          <w:left w:val="nil"/>
          <w:bottom w:val="nil"/>
          <w:right w:val="nil"/>
          <w:between w:val="nil"/>
        </w:pBdr>
        <w:tabs>
          <w:tab w:val="left" w:pos="567"/>
          <w:tab w:val="left" w:pos="992"/>
        </w:tabs>
        <w:spacing w:after="120" w:line="360" w:lineRule="auto"/>
        <w:jc w:val="both"/>
        <w:rPr>
          <w:rFonts w:ascii="Arial" w:eastAsia="Arial" w:hAnsi="Arial" w:cs="Arial"/>
          <w:color w:val="010000"/>
          <w:sz w:val="20"/>
          <w:szCs w:val="20"/>
        </w:rPr>
      </w:pPr>
      <w:r w:rsidRPr="000D6171">
        <w:rPr>
          <w:rFonts w:ascii="Arial" w:hAnsi="Arial" w:cs="Arial"/>
          <w:color w:val="010000"/>
          <w:sz w:val="20"/>
        </w:rPr>
        <w:t>Consumption: 220,000 tons.</w:t>
      </w:r>
    </w:p>
    <w:p w14:paraId="610B69B7" w14:textId="02A31F23"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Revenue: VND 3,079,100 million, in which:</w:t>
      </w:r>
    </w:p>
    <w:p w14:paraId="0DE37BCF"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Revenue from services: VND 45,000 million;</w:t>
      </w:r>
    </w:p>
    <w:p w14:paraId="6B115E02" w14:textId="77777777"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Profit before tax: VND 10,000 million;</w:t>
      </w:r>
    </w:p>
    <w:p w14:paraId="14505A35" w14:textId="77777777" w:rsidR="00650824" w:rsidRPr="000D6171" w:rsidRDefault="004F3C7F" w:rsidP="00D603E7">
      <w:pPr>
        <w:keepNext/>
        <w:numPr>
          <w:ilvl w:val="0"/>
          <w:numId w:val="2"/>
        </w:numPr>
        <w:pBdr>
          <w:top w:val="nil"/>
          <w:left w:val="nil"/>
          <w:bottom w:val="nil"/>
          <w:right w:val="nil"/>
          <w:between w:val="nil"/>
        </w:pBdr>
        <w:tabs>
          <w:tab w:val="left" w:pos="567"/>
          <w:tab w:val="left" w:pos="1107"/>
        </w:tabs>
        <w:spacing w:after="120" w:line="360" w:lineRule="auto"/>
        <w:jc w:val="both"/>
        <w:rPr>
          <w:rFonts w:ascii="Arial" w:eastAsia="Arial" w:hAnsi="Arial" w:cs="Arial"/>
          <w:color w:val="010000"/>
          <w:sz w:val="20"/>
          <w:szCs w:val="20"/>
        </w:rPr>
      </w:pPr>
      <w:r w:rsidRPr="000D6171">
        <w:rPr>
          <w:rFonts w:ascii="Arial" w:hAnsi="Arial" w:cs="Arial"/>
          <w:color w:val="010000"/>
          <w:sz w:val="20"/>
        </w:rPr>
        <w:t>Investment and development plan</w:t>
      </w:r>
    </w:p>
    <w:p w14:paraId="69A150E2"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Total investment value VND 15.2 billion, of which:</w:t>
      </w:r>
    </w:p>
    <w:p w14:paraId="6CA8DFB1" w14:textId="17D6C1B1"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Transition project VND 5.2 billion.</w:t>
      </w:r>
    </w:p>
    <w:p w14:paraId="24D16EAE" w14:textId="4BE89003" w:rsidR="00F708F1" w:rsidRPr="000D6171" w:rsidRDefault="00F708F1" w:rsidP="00D603E7">
      <w:p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eastAsia="Arial" w:hAnsi="Arial" w:cs="Arial"/>
          <w:color w:val="010000"/>
          <w:sz w:val="20"/>
          <w:szCs w:val="20"/>
        </w:rPr>
        <w:lastRenderedPageBreak/>
        <w:t>Continue to carry out project (consult, survey, prepare and approve documents, design, construct, prepare cost estimates and invest in a number of necessary and urgent fire protection items, in accordance with the Company's company at the request of the authorities.)</w:t>
      </w:r>
    </w:p>
    <w:p w14:paraId="33E999A2" w14:textId="4FDD454A" w:rsidR="00D763E4" w:rsidRPr="000D6171" w:rsidRDefault="00D763E4"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eastAsia="Arial" w:hAnsi="Arial" w:cs="Arial"/>
          <w:color w:val="010000"/>
          <w:sz w:val="20"/>
          <w:szCs w:val="20"/>
        </w:rPr>
        <w:t>New construction project: Total investment: VND 05 billion</w:t>
      </w:r>
    </w:p>
    <w:p w14:paraId="7ED29B74"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Project to build a 2-story office building at General Metal Warehouse No. 1.</w:t>
      </w:r>
    </w:p>
    <w:p w14:paraId="70A29B50" w14:textId="347C366A" w:rsidR="00650824" w:rsidRPr="000D6171" w:rsidRDefault="004F3C7F" w:rsidP="00D603E7">
      <w:pPr>
        <w:numPr>
          <w:ilvl w:val="0"/>
          <w:numId w:val="6"/>
        </w:numPr>
        <w:pBdr>
          <w:top w:val="nil"/>
          <w:left w:val="nil"/>
          <w:bottom w:val="nil"/>
          <w:right w:val="nil"/>
          <w:between w:val="nil"/>
        </w:pBdr>
        <w:tabs>
          <w:tab w:val="left" w:pos="567"/>
          <w:tab w:val="left" w:pos="1003"/>
        </w:tabs>
        <w:spacing w:after="120" w:line="360" w:lineRule="auto"/>
        <w:jc w:val="both"/>
        <w:rPr>
          <w:rFonts w:ascii="Arial" w:eastAsia="Arial" w:hAnsi="Arial" w:cs="Arial"/>
          <w:color w:val="010000"/>
          <w:sz w:val="20"/>
          <w:szCs w:val="20"/>
        </w:rPr>
      </w:pPr>
      <w:r w:rsidRPr="000D6171">
        <w:rPr>
          <w:rFonts w:ascii="Arial" w:hAnsi="Arial" w:cs="Arial"/>
          <w:color w:val="010000"/>
          <w:sz w:val="20"/>
        </w:rPr>
        <w:t>Repair and upgrade infrastructure and assets at the Company's office, General Warehouses and some land plots: Total investment value VND 05 billion</w:t>
      </w:r>
    </w:p>
    <w:p w14:paraId="292D34BD" w14:textId="77777777" w:rsidR="00650824" w:rsidRPr="000D6171" w:rsidRDefault="004F3C7F" w:rsidP="00D603E7">
      <w:pPr>
        <w:keepNext/>
        <w:numPr>
          <w:ilvl w:val="0"/>
          <w:numId w:val="2"/>
        </w:numPr>
        <w:pBdr>
          <w:top w:val="nil"/>
          <w:left w:val="nil"/>
          <w:bottom w:val="nil"/>
          <w:right w:val="nil"/>
          <w:between w:val="nil"/>
        </w:pBdr>
        <w:tabs>
          <w:tab w:val="left" w:pos="567"/>
          <w:tab w:val="left" w:pos="927"/>
        </w:tabs>
        <w:spacing w:after="120" w:line="360" w:lineRule="auto"/>
        <w:jc w:val="both"/>
        <w:rPr>
          <w:rFonts w:ascii="Arial" w:eastAsia="Arial" w:hAnsi="Arial" w:cs="Arial"/>
          <w:color w:val="010000"/>
          <w:sz w:val="20"/>
          <w:szCs w:val="20"/>
        </w:rPr>
      </w:pPr>
      <w:r w:rsidRPr="000D6171">
        <w:rPr>
          <w:rFonts w:ascii="Arial" w:hAnsi="Arial" w:cs="Arial"/>
          <w:color w:val="010000"/>
          <w:sz w:val="20"/>
        </w:rPr>
        <w:t>Credit limit plan:</w:t>
      </w:r>
    </w:p>
    <w:p w14:paraId="464D070F" w14:textId="77777777" w:rsidR="00650824" w:rsidRPr="000D6171" w:rsidRDefault="004F3C7F" w:rsidP="00D603E7">
      <w:pPr>
        <w:numPr>
          <w:ilvl w:val="0"/>
          <w:numId w:val="6"/>
        </w:numPr>
        <w:pBdr>
          <w:top w:val="nil"/>
          <w:left w:val="nil"/>
          <w:bottom w:val="nil"/>
          <w:right w:val="nil"/>
          <w:between w:val="nil"/>
        </w:pBdr>
        <w:tabs>
          <w:tab w:val="left" w:pos="567"/>
          <w:tab w:val="left" w:pos="812"/>
        </w:tabs>
        <w:spacing w:after="120" w:line="360" w:lineRule="auto"/>
        <w:jc w:val="both"/>
        <w:rPr>
          <w:rFonts w:ascii="Arial" w:eastAsia="Arial" w:hAnsi="Arial" w:cs="Arial"/>
          <w:color w:val="010000"/>
          <w:sz w:val="20"/>
          <w:szCs w:val="20"/>
        </w:rPr>
      </w:pPr>
      <w:r w:rsidRPr="000D6171">
        <w:rPr>
          <w:rFonts w:ascii="Arial" w:hAnsi="Arial" w:cs="Arial"/>
          <w:color w:val="010000"/>
          <w:sz w:val="20"/>
        </w:rPr>
        <w:t>Vietnam Joint Stock Commercial Bank For Industry And Trade VND 200 billion;</w:t>
      </w:r>
    </w:p>
    <w:p w14:paraId="1414A078" w14:textId="77777777" w:rsidR="00650824" w:rsidRPr="000D6171" w:rsidRDefault="004F3C7F" w:rsidP="00D603E7">
      <w:pPr>
        <w:numPr>
          <w:ilvl w:val="0"/>
          <w:numId w:val="6"/>
        </w:numPr>
        <w:pBdr>
          <w:top w:val="nil"/>
          <w:left w:val="nil"/>
          <w:bottom w:val="nil"/>
          <w:right w:val="nil"/>
          <w:between w:val="nil"/>
        </w:pBdr>
        <w:tabs>
          <w:tab w:val="left" w:pos="567"/>
          <w:tab w:val="left" w:pos="816"/>
        </w:tabs>
        <w:spacing w:after="120" w:line="360" w:lineRule="auto"/>
        <w:jc w:val="both"/>
        <w:rPr>
          <w:rFonts w:ascii="Arial" w:eastAsia="Arial" w:hAnsi="Arial" w:cs="Arial"/>
          <w:color w:val="010000"/>
          <w:sz w:val="20"/>
          <w:szCs w:val="20"/>
        </w:rPr>
      </w:pPr>
      <w:r w:rsidRPr="000D6171">
        <w:rPr>
          <w:rFonts w:ascii="Arial" w:hAnsi="Arial" w:cs="Arial"/>
          <w:color w:val="010000"/>
          <w:sz w:val="20"/>
        </w:rPr>
        <w:t>Joint Stock Commercial Bank for Investment and Development of Vietnam: VND 200 billion;</w:t>
      </w:r>
    </w:p>
    <w:p w14:paraId="765CE326"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6: Agree on approving the actual salary and remuneration in 2023 and the salary and remuneration plan for the Board of Directors and Supervisory Board in 2024 (Proposal No. 441/TTr-HNS dated March 20, 2024 of the Company's Board of Directors):</w:t>
      </w:r>
    </w:p>
    <w:p w14:paraId="6483148D" w14:textId="77777777" w:rsidR="00650824" w:rsidRPr="000D6171" w:rsidRDefault="004F3C7F" w:rsidP="00D603E7">
      <w:pPr>
        <w:numPr>
          <w:ilvl w:val="0"/>
          <w:numId w:val="3"/>
        </w:numPr>
        <w:pBdr>
          <w:top w:val="nil"/>
          <w:left w:val="nil"/>
          <w:bottom w:val="nil"/>
          <w:right w:val="nil"/>
          <w:between w:val="nil"/>
        </w:pBdr>
        <w:tabs>
          <w:tab w:val="left" w:pos="567"/>
          <w:tab w:val="left" w:pos="1071"/>
        </w:tabs>
        <w:spacing w:after="120" w:line="360" w:lineRule="auto"/>
        <w:jc w:val="both"/>
        <w:rPr>
          <w:rFonts w:ascii="Arial" w:eastAsia="Arial" w:hAnsi="Arial" w:cs="Arial"/>
          <w:color w:val="010000"/>
          <w:sz w:val="20"/>
          <w:szCs w:val="20"/>
        </w:rPr>
      </w:pPr>
      <w:r w:rsidRPr="000D6171">
        <w:rPr>
          <w:rFonts w:ascii="Arial" w:hAnsi="Arial" w:cs="Arial"/>
          <w:color w:val="010000"/>
          <w:sz w:val="20"/>
        </w:rPr>
        <w:t>Actual salary and remuneration fund in 2023:</w:t>
      </w:r>
    </w:p>
    <w:p w14:paraId="13B846DB" w14:textId="69C8D1AB"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Salary fund for the Board of Directors and Supervisory Board: VND 1,322,100,000.</w:t>
      </w:r>
    </w:p>
    <w:p w14:paraId="1F830D09" w14:textId="77777777"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Annual remuneration fund: VND 233,000,000.</w:t>
      </w:r>
    </w:p>
    <w:p w14:paraId="0197E512" w14:textId="77777777" w:rsidR="00650824" w:rsidRPr="000D6171" w:rsidRDefault="004F3C7F" w:rsidP="00D603E7">
      <w:pPr>
        <w:numPr>
          <w:ilvl w:val="0"/>
          <w:numId w:val="3"/>
        </w:numPr>
        <w:pBdr>
          <w:top w:val="nil"/>
          <w:left w:val="nil"/>
          <w:bottom w:val="nil"/>
          <w:right w:val="nil"/>
          <w:between w:val="nil"/>
        </w:pBdr>
        <w:tabs>
          <w:tab w:val="left" w:pos="567"/>
          <w:tab w:val="left" w:pos="1104"/>
        </w:tabs>
        <w:spacing w:after="120" w:line="360" w:lineRule="auto"/>
        <w:jc w:val="both"/>
        <w:rPr>
          <w:rFonts w:ascii="Arial" w:eastAsia="Arial" w:hAnsi="Arial" w:cs="Arial"/>
          <w:color w:val="010000"/>
          <w:sz w:val="20"/>
          <w:szCs w:val="20"/>
        </w:rPr>
      </w:pPr>
      <w:r w:rsidRPr="000D6171">
        <w:rPr>
          <w:rFonts w:ascii="Arial" w:hAnsi="Arial" w:cs="Arial"/>
          <w:color w:val="010000"/>
          <w:sz w:val="20"/>
        </w:rPr>
        <w:t>Salary plan for the Board of Directors and Supervisory Board in 2024:</w:t>
      </w:r>
    </w:p>
    <w:p w14:paraId="3B3B8C00" w14:textId="77777777" w:rsidR="00650824" w:rsidRPr="000D6171" w:rsidRDefault="004F3C7F" w:rsidP="00D603E7">
      <w:pPr>
        <w:numPr>
          <w:ilvl w:val="1"/>
          <w:numId w:val="3"/>
        </w:numPr>
        <w:pBdr>
          <w:top w:val="nil"/>
          <w:left w:val="nil"/>
          <w:bottom w:val="nil"/>
          <w:right w:val="nil"/>
          <w:between w:val="nil"/>
        </w:pBdr>
        <w:tabs>
          <w:tab w:val="left" w:pos="567"/>
          <w:tab w:val="left" w:pos="1316"/>
        </w:tabs>
        <w:spacing w:after="120" w:line="360" w:lineRule="auto"/>
        <w:jc w:val="both"/>
        <w:rPr>
          <w:rFonts w:ascii="Arial" w:eastAsia="Arial" w:hAnsi="Arial" w:cs="Arial"/>
          <w:color w:val="010000"/>
          <w:sz w:val="20"/>
          <w:szCs w:val="20"/>
        </w:rPr>
      </w:pPr>
      <w:r w:rsidRPr="000D6171">
        <w:rPr>
          <w:rFonts w:ascii="Arial" w:hAnsi="Arial" w:cs="Arial"/>
          <w:color w:val="010000"/>
          <w:sz w:val="20"/>
        </w:rPr>
        <w:t>Salaries for executive manager:</w:t>
      </w:r>
    </w:p>
    <w:p w14:paraId="7676B922" w14:textId="77777777" w:rsidR="00650824" w:rsidRPr="000D6171" w:rsidRDefault="004F3C7F" w:rsidP="00D603E7">
      <w:pPr>
        <w:numPr>
          <w:ilvl w:val="0"/>
          <w:numId w:val="6"/>
        </w:numPr>
        <w:pBdr>
          <w:top w:val="nil"/>
          <w:left w:val="nil"/>
          <w:bottom w:val="nil"/>
          <w:right w:val="nil"/>
          <w:between w:val="nil"/>
        </w:pBdr>
        <w:tabs>
          <w:tab w:val="left" w:pos="567"/>
          <w:tab w:val="left" w:pos="996"/>
          <w:tab w:val="left" w:pos="5990"/>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Member of the Board of Directors, </w:t>
      </w:r>
      <w:r w:rsidRPr="000D6171">
        <w:rPr>
          <w:rFonts w:ascii="Arial" w:hAnsi="Arial" w:cs="Arial"/>
          <w:color w:val="010000"/>
          <w:sz w:val="20"/>
        </w:rPr>
        <w:br/>
        <w:t>General Manager of the Company VND 35,000,000/month</w:t>
      </w:r>
    </w:p>
    <w:p w14:paraId="43A9508D" w14:textId="77777777"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Members of the Board of Directors, Deputy General Managers (2 people): VND 30,000,000/person/month </w:t>
      </w:r>
    </w:p>
    <w:p w14:paraId="51840D29" w14:textId="2F8D2729" w:rsidR="00650824" w:rsidRPr="000D6171" w:rsidRDefault="004F3C7F" w:rsidP="00D603E7">
      <w:p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Salary fund for executive managers: VND 1,140,000,000</w:t>
      </w:r>
      <w:bookmarkStart w:id="0" w:name="_GoBack"/>
      <w:bookmarkEnd w:id="0"/>
      <w:r w:rsidRPr="000D6171">
        <w:rPr>
          <w:rFonts w:ascii="Arial" w:hAnsi="Arial" w:cs="Arial"/>
          <w:color w:val="010000"/>
          <w:sz w:val="20"/>
        </w:rPr>
        <w:t>.</w:t>
      </w:r>
    </w:p>
    <w:p w14:paraId="51F9B2DD" w14:textId="07AD2186" w:rsidR="00650824" w:rsidRPr="000D6171" w:rsidRDefault="004F3C7F" w:rsidP="00D603E7">
      <w:pPr>
        <w:numPr>
          <w:ilvl w:val="1"/>
          <w:numId w:val="3"/>
        </w:numPr>
        <w:pBdr>
          <w:top w:val="nil"/>
          <w:left w:val="nil"/>
          <w:bottom w:val="nil"/>
          <w:right w:val="nil"/>
          <w:between w:val="nil"/>
        </w:pBdr>
        <w:tabs>
          <w:tab w:val="left" w:pos="567"/>
          <w:tab w:val="left" w:pos="1356"/>
        </w:tabs>
        <w:spacing w:after="120" w:line="360" w:lineRule="auto"/>
        <w:jc w:val="both"/>
        <w:rPr>
          <w:rFonts w:ascii="Arial" w:eastAsia="Arial" w:hAnsi="Arial" w:cs="Arial"/>
          <w:color w:val="010000"/>
          <w:sz w:val="20"/>
          <w:szCs w:val="20"/>
        </w:rPr>
      </w:pPr>
      <w:r w:rsidRPr="000D6171">
        <w:rPr>
          <w:rFonts w:ascii="Arial" w:hAnsi="Arial" w:cs="Arial"/>
          <w:color w:val="010000"/>
          <w:sz w:val="20"/>
        </w:rPr>
        <w:t>Remuneration for the non-executive Board of Directors and Supervisory Board:</w:t>
      </w:r>
    </w:p>
    <w:p w14:paraId="734FA15F" w14:textId="77777777"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Chair of the Board of Directors to: VND 6,000,000/month</w:t>
      </w:r>
    </w:p>
    <w:p w14:paraId="50EEB897" w14:textId="77777777"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Members of the Board of Directors: VND 4,000,000/person/month</w:t>
      </w:r>
    </w:p>
    <w:p w14:paraId="712C5517" w14:textId="77777777"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Chief of the Supervisory Board: VND 4,000,000/month</w:t>
      </w:r>
    </w:p>
    <w:p w14:paraId="4CC94432" w14:textId="77777777" w:rsidR="00650824" w:rsidRPr="000D6171" w:rsidRDefault="004F3C7F" w:rsidP="00D603E7">
      <w:pPr>
        <w:numPr>
          <w:ilvl w:val="0"/>
          <w:numId w:val="6"/>
        </w:numPr>
        <w:pBdr>
          <w:top w:val="nil"/>
          <w:left w:val="nil"/>
          <w:bottom w:val="nil"/>
          <w:right w:val="nil"/>
          <w:between w:val="nil"/>
        </w:pBdr>
        <w:tabs>
          <w:tab w:val="left" w:pos="567"/>
          <w:tab w:val="left" w:pos="996"/>
        </w:tabs>
        <w:spacing w:after="120" w:line="360" w:lineRule="auto"/>
        <w:jc w:val="both"/>
        <w:rPr>
          <w:rFonts w:ascii="Arial" w:eastAsia="Arial" w:hAnsi="Arial" w:cs="Arial"/>
          <w:color w:val="010000"/>
          <w:sz w:val="20"/>
          <w:szCs w:val="20"/>
        </w:rPr>
      </w:pPr>
      <w:r w:rsidRPr="000D6171">
        <w:rPr>
          <w:rFonts w:ascii="Arial" w:hAnsi="Arial" w:cs="Arial"/>
          <w:color w:val="010000"/>
          <w:sz w:val="20"/>
        </w:rPr>
        <w:t>Member of the Supervisory Board: VND 3,000,000/person/month</w:t>
      </w:r>
    </w:p>
    <w:p w14:paraId="604A2148"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Remuneration fund for non-executive managers: VND 240,000,000;</w:t>
      </w:r>
    </w:p>
    <w:p w14:paraId="16EBAF4F"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7: Agree on approving Proposal No. 442/TTr-HNS dated March 20, 2024 of the Company's Board of Directors:</w:t>
      </w:r>
    </w:p>
    <w:p w14:paraId="6AB12F9B"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1 Approve economic contracts between Vnsteel - Hanoi Steel Corporation and organizations related to </w:t>
      </w:r>
      <w:r w:rsidRPr="000D6171">
        <w:rPr>
          <w:rFonts w:ascii="Arial" w:hAnsi="Arial" w:cs="Arial"/>
          <w:color w:val="010000"/>
          <w:sz w:val="20"/>
        </w:rPr>
        <w:lastRenderedPageBreak/>
        <w:t>shareholders owning more than 10% of the total ordinary shares, which are subsidiaries in the system of Vietnam Steel Corporation - JSC according to the list in the Appendix attached to the Proposal.</w:t>
      </w:r>
    </w:p>
    <w:p w14:paraId="2A7C3935" w14:textId="74266404" w:rsidR="00650824" w:rsidRPr="000D6171" w:rsidRDefault="004F3C7F" w:rsidP="00D603E7">
      <w:pPr>
        <w:numPr>
          <w:ilvl w:val="0"/>
          <w:numId w:val="4"/>
        </w:numPr>
        <w:pBdr>
          <w:top w:val="nil"/>
          <w:left w:val="nil"/>
          <w:bottom w:val="nil"/>
          <w:right w:val="nil"/>
          <w:between w:val="nil"/>
        </w:pBdr>
        <w:tabs>
          <w:tab w:val="left" w:pos="567"/>
          <w:tab w:val="left" w:pos="1085"/>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The </w:t>
      </w:r>
      <w:r w:rsidR="00D603E7">
        <w:rPr>
          <w:rFonts w:ascii="Arial" w:hAnsi="Arial" w:cs="Arial"/>
          <w:color w:val="010000"/>
          <w:sz w:val="20"/>
        </w:rPr>
        <w:t>General Meeting</w:t>
      </w:r>
      <w:r w:rsidRPr="000D6171">
        <w:rPr>
          <w:rFonts w:ascii="Arial" w:hAnsi="Arial" w:cs="Arial"/>
          <w:color w:val="010000"/>
          <w:sz w:val="20"/>
        </w:rPr>
        <w:t xml:space="preserve"> authorizes the Board of Directors to direct and supervise the General Manager to sign and implement the above economic contracts in accordance with the provisions of law, the Company's Charter, ensuring the interests of the Company and shareholders.</w:t>
      </w:r>
    </w:p>
    <w:p w14:paraId="7AAB6F4E"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8: Agree on approving Proposal No. 444/TTr-HNS dated March 20, 2024 of the Board of Directors on selecting an independent audit company to audit the Company's 2024 Financial Statements and authorize the Board of Directors to select an independent audit company based on the proposal of the Company's General Manager.</w:t>
      </w:r>
    </w:p>
    <w:p w14:paraId="1DDA075D"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9: Agree on approving Proposal No. 575/TTr-HNS dated April 9, 2024 on dismissing members of the Supervisory Board of Hanoi Metal Joint Stock Company - VNSTEEL for the term 2021-2025.</w:t>
      </w:r>
    </w:p>
    <w:p w14:paraId="5059305C"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10: Agree on approving Proposal No. 576/TTr-HNS dated April 9, 2024 on nominating additional members of the Supervisory Board of Vnsteel - Hanoi Steel Corporation for the term 2021-2025.</w:t>
      </w:r>
    </w:p>
    <w:p w14:paraId="08A10E65"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Article 11: Agree on approving the results of the additional election of members of the Supervisory Board of Vnsteel - Hanoi Steel Corporation for the term 2021-2025, specifically the following person: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4"/>
        <w:gridCol w:w="7513"/>
      </w:tblGrid>
      <w:tr w:rsidR="00650824" w:rsidRPr="000D6171" w14:paraId="1D9E4E6A" w14:textId="77777777" w:rsidTr="004F3C7F">
        <w:tc>
          <w:tcPr>
            <w:tcW w:w="834" w:type="pct"/>
            <w:shd w:val="clear" w:color="auto" w:fill="auto"/>
            <w:tcMar>
              <w:top w:w="0" w:type="dxa"/>
              <w:bottom w:w="0" w:type="dxa"/>
            </w:tcMar>
            <w:vAlign w:val="center"/>
          </w:tcPr>
          <w:p w14:paraId="35A14096"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No.</w:t>
            </w:r>
          </w:p>
        </w:tc>
        <w:tc>
          <w:tcPr>
            <w:tcW w:w="4166" w:type="pct"/>
            <w:shd w:val="clear" w:color="auto" w:fill="auto"/>
            <w:tcMar>
              <w:top w:w="0" w:type="dxa"/>
              <w:bottom w:w="0" w:type="dxa"/>
            </w:tcMar>
            <w:vAlign w:val="center"/>
          </w:tcPr>
          <w:p w14:paraId="063796BC"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Full name</w:t>
            </w:r>
          </w:p>
        </w:tc>
      </w:tr>
      <w:tr w:rsidR="00650824" w:rsidRPr="000D6171" w14:paraId="119D86E7" w14:textId="77777777" w:rsidTr="004F3C7F">
        <w:tc>
          <w:tcPr>
            <w:tcW w:w="834" w:type="pct"/>
            <w:shd w:val="clear" w:color="auto" w:fill="auto"/>
            <w:tcMar>
              <w:top w:w="0" w:type="dxa"/>
              <w:bottom w:w="0" w:type="dxa"/>
            </w:tcMar>
            <w:vAlign w:val="center"/>
          </w:tcPr>
          <w:p w14:paraId="5D33011D"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1</w:t>
            </w:r>
          </w:p>
        </w:tc>
        <w:tc>
          <w:tcPr>
            <w:tcW w:w="4166" w:type="pct"/>
            <w:shd w:val="clear" w:color="auto" w:fill="auto"/>
            <w:tcMar>
              <w:top w:w="0" w:type="dxa"/>
              <w:bottom w:w="0" w:type="dxa"/>
            </w:tcMar>
            <w:vAlign w:val="center"/>
          </w:tcPr>
          <w:p w14:paraId="08BE8FC1" w14:textId="77777777"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Ms. Dinh Thi Thuy Trang</w:t>
            </w:r>
          </w:p>
        </w:tc>
      </w:tr>
    </w:tbl>
    <w:p w14:paraId="634D10B3" w14:textId="3FC22F6C"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Article 12: The Annual </w:t>
      </w:r>
      <w:r w:rsidR="00D603E7">
        <w:rPr>
          <w:rFonts w:ascii="Arial" w:hAnsi="Arial" w:cs="Arial"/>
          <w:color w:val="010000"/>
          <w:sz w:val="20"/>
        </w:rPr>
        <w:t>General Meeting</w:t>
      </w:r>
      <w:r w:rsidRPr="000D6171">
        <w:rPr>
          <w:rFonts w:ascii="Arial" w:hAnsi="Arial" w:cs="Arial"/>
          <w:color w:val="010000"/>
          <w:sz w:val="20"/>
        </w:rPr>
        <w:t xml:space="preserve"> in 2024 authorizes the Company's Board of Directors to direct and supervise the Executive Board to implement the Annual General Mandate 2024 </w:t>
      </w:r>
      <w:r w:rsidR="00D603E7">
        <w:rPr>
          <w:rFonts w:ascii="Arial" w:hAnsi="Arial" w:cs="Arial"/>
          <w:color w:val="010000"/>
          <w:sz w:val="20"/>
        </w:rPr>
        <w:t>under applicable laws</w:t>
      </w:r>
      <w:r w:rsidRPr="000D6171">
        <w:rPr>
          <w:rFonts w:ascii="Arial" w:hAnsi="Arial" w:cs="Arial"/>
          <w:color w:val="010000"/>
          <w:sz w:val="20"/>
        </w:rPr>
        <w:t xml:space="preserve"> and the Company's Charter on organization and operation</w:t>
      </w:r>
      <w:r w:rsidR="00D603E7">
        <w:rPr>
          <w:rFonts w:ascii="Arial" w:hAnsi="Arial" w:cs="Arial"/>
          <w:color w:val="010000"/>
          <w:sz w:val="20"/>
        </w:rPr>
        <w:t>s</w:t>
      </w:r>
      <w:r w:rsidRPr="000D6171">
        <w:rPr>
          <w:rFonts w:ascii="Arial" w:hAnsi="Arial" w:cs="Arial"/>
          <w:color w:val="010000"/>
          <w:sz w:val="20"/>
        </w:rPr>
        <w:t>.</w:t>
      </w:r>
    </w:p>
    <w:p w14:paraId="1E86997E" w14:textId="280F2F36" w:rsidR="00650824" w:rsidRPr="000D6171"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The Annual </w:t>
      </w:r>
      <w:r w:rsidR="00D603E7">
        <w:rPr>
          <w:rFonts w:ascii="Arial" w:hAnsi="Arial" w:cs="Arial"/>
          <w:color w:val="010000"/>
          <w:sz w:val="20"/>
        </w:rPr>
        <w:t>General Meeting</w:t>
      </w:r>
      <w:r w:rsidRPr="000D6171">
        <w:rPr>
          <w:rFonts w:ascii="Arial" w:hAnsi="Arial" w:cs="Arial"/>
          <w:color w:val="010000"/>
          <w:sz w:val="20"/>
        </w:rPr>
        <w:t xml:space="preserve"> 2024 assigns the Supervisory Board to be responsible for supervising and inspecting the activities of the Board of Directors and the Company's Executive Board in implementing Annual General Mandate 2024, ensuring compliance with </w:t>
      </w:r>
      <w:r w:rsidR="00D603E7">
        <w:rPr>
          <w:rFonts w:ascii="Arial" w:hAnsi="Arial" w:cs="Arial"/>
          <w:color w:val="010000"/>
          <w:sz w:val="20"/>
        </w:rPr>
        <w:t>applicable laws</w:t>
      </w:r>
      <w:r w:rsidRPr="000D6171">
        <w:rPr>
          <w:rFonts w:ascii="Arial" w:hAnsi="Arial" w:cs="Arial"/>
          <w:color w:val="010000"/>
          <w:sz w:val="20"/>
        </w:rPr>
        <w:t xml:space="preserve"> and the Company's Charter on organization and operation.</w:t>
      </w:r>
    </w:p>
    <w:p w14:paraId="2CBB30EB" w14:textId="39B9D86B" w:rsidR="00650824" w:rsidRPr="004F3C7F" w:rsidRDefault="004F3C7F" w:rsidP="00D603E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0D6171">
        <w:rPr>
          <w:rFonts w:ascii="Arial" w:hAnsi="Arial" w:cs="Arial"/>
          <w:color w:val="010000"/>
          <w:sz w:val="20"/>
        </w:rPr>
        <w:t xml:space="preserve">The Annual </w:t>
      </w:r>
      <w:r w:rsidR="00D603E7">
        <w:rPr>
          <w:rFonts w:ascii="Arial" w:hAnsi="Arial" w:cs="Arial"/>
          <w:color w:val="010000"/>
          <w:sz w:val="20"/>
        </w:rPr>
        <w:t>General Meeting</w:t>
      </w:r>
      <w:r w:rsidRPr="000D6171">
        <w:rPr>
          <w:rFonts w:ascii="Arial" w:hAnsi="Arial" w:cs="Arial"/>
          <w:color w:val="010000"/>
          <w:sz w:val="20"/>
        </w:rPr>
        <w:t xml:space="preserve"> 2024 </w:t>
      </w:r>
      <w:r w:rsidR="00D763E4" w:rsidRPr="000D6171">
        <w:rPr>
          <w:rFonts w:ascii="Arial" w:hAnsi="Arial" w:cs="Arial"/>
          <w:color w:val="010000"/>
          <w:sz w:val="20"/>
        </w:rPr>
        <w:t xml:space="preserve">approved </w:t>
      </w:r>
      <w:r w:rsidRPr="000D6171">
        <w:rPr>
          <w:rFonts w:ascii="Arial" w:hAnsi="Arial" w:cs="Arial"/>
          <w:color w:val="010000"/>
          <w:sz w:val="20"/>
        </w:rPr>
        <w:t xml:space="preserve">the </w:t>
      </w:r>
      <w:r w:rsidR="00D763E4" w:rsidRPr="000D6171">
        <w:rPr>
          <w:rFonts w:ascii="Arial" w:hAnsi="Arial" w:cs="Arial"/>
          <w:color w:val="010000"/>
          <w:sz w:val="20"/>
        </w:rPr>
        <w:t>full-text</w:t>
      </w:r>
      <w:r w:rsidRPr="000D6171">
        <w:rPr>
          <w:rFonts w:ascii="Arial" w:hAnsi="Arial" w:cs="Arial"/>
          <w:color w:val="010000"/>
          <w:sz w:val="20"/>
        </w:rPr>
        <w:t xml:space="preserve"> Annual General Mandate of Vnsteel - Hanoi Steel Corporation and </w:t>
      </w:r>
      <w:r w:rsidR="00D763E4" w:rsidRPr="000D6171">
        <w:rPr>
          <w:rFonts w:ascii="Arial" w:hAnsi="Arial" w:cs="Arial"/>
          <w:color w:val="010000"/>
          <w:sz w:val="20"/>
        </w:rPr>
        <w:t>this General Mandate</w:t>
      </w:r>
      <w:r w:rsidRPr="000D6171">
        <w:rPr>
          <w:rFonts w:ascii="Arial" w:hAnsi="Arial" w:cs="Arial"/>
          <w:color w:val="010000"/>
          <w:sz w:val="20"/>
        </w:rPr>
        <w:t xml:space="preserve"> takes effect from April 15, 2024.</w:t>
      </w:r>
      <w:r w:rsidRPr="004F3C7F">
        <w:rPr>
          <w:rFonts w:ascii="Arial" w:hAnsi="Arial" w:cs="Arial"/>
          <w:color w:val="010000"/>
          <w:sz w:val="20"/>
        </w:rPr>
        <w:t xml:space="preserve"> </w:t>
      </w:r>
    </w:p>
    <w:sectPr w:rsidR="00650824" w:rsidRPr="004F3C7F" w:rsidSect="004F3C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8AB"/>
    <w:multiLevelType w:val="multilevel"/>
    <w:tmpl w:val="C578214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2A1AE5"/>
    <w:multiLevelType w:val="multilevel"/>
    <w:tmpl w:val="F57895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6682C"/>
    <w:multiLevelType w:val="multilevel"/>
    <w:tmpl w:val="4CB08FA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3C5757B"/>
    <w:multiLevelType w:val="multilevel"/>
    <w:tmpl w:val="616E580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FEE65D9"/>
    <w:multiLevelType w:val="multilevel"/>
    <w:tmpl w:val="F044001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D5F24EA"/>
    <w:multiLevelType w:val="multilevel"/>
    <w:tmpl w:val="BDBA14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24"/>
    <w:rsid w:val="000D6171"/>
    <w:rsid w:val="004F3C7F"/>
    <w:rsid w:val="00650824"/>
    <w:rsid w:val="00D603E7"/>
    <w:rsid w:val="00D763E4"/>
    <w:rsid w:val="00F708F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EF0E5"/>
  <w15:docId w15:val="{C4F69038-99FD-4D07-9DFC-6A80642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color w:val="C53547"/>
      <w:w w:val="8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color w:val="C53547"/>
      <w:w w:val="8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b w:val="0"/>
      <w:bCs w:val="0"/>
      <w:i w:val="0"/>
      <w:iCs w:val="0"/>
      <w:smallCaps w:val="0"/>
      <w:strike w:val="0"/>
      <w:color w:val="C53547"/>
      <w:sz w:val="17"/>
      <w:szCs w:val="17"/>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53547"/>
      <w:sz w:val="26"/>
      <w:szCs w:val="26"/>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28"/>
      <w:szCs w:val="28"/>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customStyle="1" w:styleId="Bodytext40">
    <w:name w:val="Body text (4)"/>
    <w:basedOn w:val="Normal"/>
    <w:link w:val="Bodytext4"/>
    <w:pPr>
      <w:jc w:val="right"/>
    </w:pPr>
    <w:rPr>
      <w:rFonts w:ascii="Arial Narrow" w:eastAsia="Arial Narrow" w:hAnsi="Arial Narrow" w:cs="Arial Narrow"/>
      <w:b/>
      <w:bCs/>
      <w:color w:val="C53547"/>
      <w:w w:val="80"/>
      <w:sz w:val="20"/>
      <w:szCs w:val="20"/>
    </w:rPr>
  </w:style>
  <w:style w:type="paragraph" w:customStyle="1" w:styleId="Bodytext30">
    <w:name w:val="Body text (3)"/>
    <w:basedOn w:val="Normal"/>
    <w:link w:val="Bodytext3"/>
    <w:pPr>
      <w:spacing w:line="295" w:lineRule="auto"/>
    </w:pPr>
    <w:rPr>
      <w:rFonts w:ascii="Arial" w:eastAsia="Arial" w:hAnsi="Arial" w:cs="Arial"/>
      <w:i/>
      <w:iCs/>
      <w:color w:val="C53547"/>
      <w:w w:val="80"/>
      <w:sz w:val="18"/>
      <w:szCs w:val="18"/>
    </w:rPr>
  </w:style>
  <w:style w:type="paragraph" w:customStyle="1" w:styleId="Heading11">
    <w:name w:val="Heading #1"/>
    <w:basedOn w:val="Normal"/>
    <w:link w:val="Heading10"/>
    <w:pPr>
      <w:ind w:firstLine="720"/>
      <w:outlineLvl w:val="0"/>
    </w:pPr>
    <w:rPr>
      <w:rFonts w:ascii="Times New Roman" w:eastAsia="Times New Roman" w:hAnsi="Times New Roman" w:cs="Times New Roman"/>
      <w:b/>
      <w:bCs/>
      <w:sz w:val="28"/>
      <w:szCs w:val="28"/>
    </w:rPr>
  </w:style>
  <w:style w:type="paragraph" w:customStyle="1" w:styleId="Tableofcontents0">
    <w:name w:val="Table of contents"/>
    <w:basedOn w:val="Normal"/>
    <w:link w:val="Tableofcontents"/>
    <w:pPr>
      <w:spacing w:line="259" w:lineRule="auto"/>
      <w:ind w:firstLine="720"/>
    </w:pPr>
    <w:rPr>
      <w:rFonts w:ascii="Times New Roman" w:eastAsia="Times New Roman" w:hAnsi="Times New Roman" w:cs="Times New Roman"/>
    </w:rPr>
  </w:style>
  <w:style w:type="paragraph" w:customStyle="1" w:styleId="Bodytext50">
    <w:name w:val="Body text (5)"/>
    <w:basedOn w:val="Normal"/>
    <w:link w:val="Bodytext5"/>
    <w:pPr>
      <w:jc w:val="right"/>
    </w:pPr>
    <w:rPr>
      <w:color w:val="C53547"/>
      <w:sz w:val="17"/>
      <w:szCs w:val="17"/>
    </w:rPr>
  </w:style>
  <w:style w:type="paragraph" w:customStyle="1" w:styleId="Bodytext60">
    <w:name w:val="Body text (6)"/>
    <w:basedOn w:val="Normal"/>
    <w:link w:val="Bodytext6"/>
    <w:pPr>
      <w:jc w:val="right"/>
    </w:pPr>
    <w:rPr>
      <w:rFonts w:ascii="Arial" w:eastAsia="Arial" w:hAnsi="Arial" w:cs="Arial"/>
      <w:color w:val="C53547"/>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2UWev7qTOoMeo3vK3K0g0maxpQ==">CgMxLjA4AHIhMUpmalpUQ2FhLUtHaEFCZVJ1cWxjUU1PY1FBbnU2MnZk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2024-04-22T03:50:00Z</dcterms:created>
  <dcterms:modified xsi:type="dcterms:W3CDTF">2024-04-22T03:50:00Z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b2484762a9d1c48b06cf2bbce1a61c7eb68ad7fc4e2cec57d5a11fe6ec4c1116</vt:lpwstr>
  </property>
</Properties>
</file>