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A5AE2" w:rsidRPr="000D0FC7" w:rsidRDefault="000D0FC7" w:rsidP="00B96DB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0D0FC7">
        <w:rPr>
          <w:rFonts w:ascii="Arial" w:hAnsi="Arial" w:cs="Arial"/>
          <w:b/>
          <w:color w:val="010000"/>
          <w:sz w:val="20"/>
        </w:rPr>
        <w:t>NAW: Explanation of profit after tax</w:t>
      </w:r>
    </w:p>
    <w:p w14:paraId="00000002" w14:textId="77777777" w:rsidR="00DA5AE2" w:rsidRPr="000D0FC7" w:rsidRDefault="000D0FC7" w:rsidP="00B96DB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D0FC7">
        <w:rPr>
          <w:rFonts w:ascii="Arial" w:hAnsi="Arial" w:cs="Arial"/>
          <w:color w:val="010000"/>
          <w:sz w:val="20"/>
        </w:rPr>
        <w:t>On April 15, 2024, Nghe An Water Supply Joint Stock Company announced Official Dispatch No. 73/CV-CNNA on profit after tax in 2023 changed by 10% compared to the same period last year as follows:</w:t>
      </w:r>
    </w:p>
    <w:p w14:paraId="00000003" w14:textId="77777777" w:rsidR="00DA5AE2" w:rsidRPr="000D0FC7" w:rsidRDefault="000D0FC7" w:rsidP="00B96DB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D0FC7">
        <w:rPr>
          <w:rFonts w:ascii="Arial" w:hAnsi="Arial" w:cs="Arial"/>
          <w:color w:val="010000"/>
          <w:sz w:val="20"/>
        </w:rPr>
        <w:t>Profit after tax in the Financial Statements 2023 changes by over 10% compared to the same period last year, specifically: Profit after tax in 2023: VND 2,765,198,444, in 2022 it is VND 4,834,947,602.</w:t>
      </w:r>
    </w:p>
    <w:p w14:paraId="00000004" w14:textId="77777777" w:rsidR="00DA5AE2" w:rsidRPr="000D0FC7" w:rsidRDefault="000D0FC7" w:rsidP="00B96DB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D0FC7">
        <w:rPr>
          <w:rFonts w:ascii="Arial" w:hAnsi="Arial" w:cs="Arial"/>
          <w:color w:val="010000"/>
          <w:sz w:val="20"/>
        </w:rPr>
        <w:t>Our Company would like to explain as follows:</w:t>
      </w:r>
    </w:p>
    <w:p w14:paraId="00000005" w14:textId="77777777" w:rsidR="00DA5AE2" w:rsidRPr="000D0FC7" w:rsidRDefault="000D0FC7" w:rsidP="00B96DB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D0FC7">
        <w:rPr>
          <w:rFonts w:ascii="Arial" w:hAnsi="Arial" w:cs="Arial"/>
          <w:color w:val="010000"/>
          <w:sz w:val="20"/>
        </w:rPr>
        <w:t>In 2023, the Company focused on repairing and maintaining machinery and equipment in water production plants to ensure continuous water supply to customers and improve service quality.</w:t>
      </w:r>
    </w:p>
    <w:p w14:paraId="00000006" w14:textId="77777777" w:rsidR="00DA5AE2" w:rsidRPr="000D0FC7" w:rsidRDefault="000D0FC7" w:rsidP="00B96DB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D0FC7">
        <w:rPr>
          <w:rFonts w:ascii="Arial" w:hAnsi="Arial" w:cs="Arial"/>
          <w:color w:val="010000"/>
          <w:sz w:val="20"/>
        </w:rPr>
        <w:t>Corporate income tax expenses 2023 include additional corporate income tax payable from previous years.</w:t>
      </w:r>
    </w:p>
    <w:p w14:paraId="00000007" w14:textId="77777777" w:rsidR="00DA5AE2" w:rsidRPr="000D0FC7" w:rsidRDefault="000D0FC7" w:rsidP="00B96DB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D0FC7">
        <w:rPr>
          <w:rFonts w:ascii="Arial" w:hAnsi="Arial" w:cs="Arial"/>
          <w:color w:val="010000"/>
          <w:sz w:val="20"/>
        </w:rPr>
        <w:t>Therefore, the Company's profit after tax is lower than the same period last year.</w:t>
      </w:r>
    </w:p>
    <w:sectPr w:rsidR="00DA5AE2" w:rsidRPr="000D0FC7" w:rsidSect="00B96DB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E2"/>
    <w:rsid w:val="000D0FC7"/>
    <w:rsid w:val="0031023F"/>
    <w:rsid w:val="00B96DB1"/>
    <w:rsid w:val="00DA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84A48A-C5D9-4036-BA0D-48EDC71A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4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pPr>
      <w:spacing w:line="206" w:lineRule="auto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WKT/vla02CpQspWU40gXjhLq6Q==">CgMxLjA4AHIhMVlBS0lfNTZYR1Q4dXN2Mk9JSjU1WThiQV9RN2prTnBP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2024-04-22T04:30:00Z</dcterms:created>
  <dcterms:modified xsi:type="dcterms:W3CDTF">2024-04-22T04:30:00Z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13b5163c0404da00200b3adcd32840d2b66762ba2dc76998190fb8773d50a9d7</vt:lpwstr>
  </property>
</Properties>
</file>