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4D33" w14:textId="77777777" w:rsidR="00B11CC3" w:rsidRPr="002845C9" w:rsidRDefault="00377A6B" w:rsidP="00F31E04">
      <w:pPr>
        <w:tabs>
          <w:tab w:val="left" w:pos="432"/>
        </w:tabs>
        <w:spacing w:after="120" w:line="360" w:lineRule="auto"/>
        <w:jc w:val="both"/>
        <w:rPr>
          <w:rFonts w:ascii="Arial" w:eastAsia="Arial" w:hAnsi="Arial" w:cs="Arial"/>
          <w:b/>
          <w:color w:val="010000"/>
          <w:sz w:val="20"/>
          <w:szCs w:val="20"/>
        </w:rPr>
      </w:pPr>
      <w:r w:rsidRPr="002845C9">
        <w:rPr>
          <w:rFonts w:ascii="Arial" w:hAnsi="Arial" w:cs="Arial"/>
          <w:b/>
          <w:color w:val="010000"/>
          <w:sz w:val="20"/>
        </w:rPr>
        <w:t>PPS: Annual General Mandate 2024</w:t>
      </w:r>
    </w:p>
    <w:p w14:paraId="75B062AF" w14:textId="77777777" w:rsidR="00B11CC3" w:rsidRPr="002845C9" w:rsidRDefault="00377A6B" w:rsidP="00F31E04">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On April 10, 2024, </w:t>
      </w:r>
      <w:proofErr w:type="spellStart"/>
      <w:r w:rsidRPr="002845C9">
        <w:rPr>
          <w:rFonts w:ascii="Arial" w:hAnsi="Arial" w:cs="Arial"/>
          <w:color w:val="010000"/>
          <w:sz w:val="20"/>
        </w:rPr>
        <w:t>Petrovietnam</w:t>
      </w:r>
      <w:proofErr w:type="spellEnd"/>
      <w:r w:rsidRPr="002845C9">
        <w:rPr>
          <w:rFonts w:ascii="Arial" w:hAnsi="Arial" w:cs="Arial"/>
          <w:color w:val="010000"/>
          <w:sz w:val="20"/>
        </w:rPr>
        <w:t xml:space="preserve"> Power Services JSC announced General Mandate No. 64/NQ/DHDCD-DVKT as follows: </w:t>
      </w:r>
    </w:p>
    <w:p w14:paraId="0AC6C685"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1. Approve Report No. 151/BC-DVKT-KTKH dated March 12, 2024 of the Board of Directors on production and business activities in 2023 and Operational Directions in 2024; Report No. 37/BC/DVKT-HDQT dated March 12, 2024 of the Board of Directors submitted to the Annual General Meeting of Shareholders 2024.</w:t>
      </w:r>
    </w:p>
    <w:p w14:paraId="06BA8202" w14:textId="77777777" w:rsidR="00B11CC3" w:rsidRPr="002845C9" w:rsidRDefault="00377A6B" w:rsidP="00F31E0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845C9">
        <w:rPr>
          <w:rFonts w:ascii="Arial" w:hAnsi="Arial" w:cs="Arial"/>
          <w:color w:val="010000"/>
          <w:sz w:val="20"/>
        </w:rPr>
        <w:t xml:space="preserve">Approve </w:t>
      </w:r>
      <w:proofErr w:type="spellStart"/>
      <w:r w:rsidRPr="002845C9">
        <w:rPr>
          <w:rFonts w:ascii="Arial" w:hAnsi="Arial" w:cs="Arial"/>
          <w:color w:val="010000"/>
          <w:sz w:val="20"/>
        </w:rPr>
        <w:t>Petrovietnam</w:t>
      </w:r>
      <w:proofErr w:type="spellEnd"/>
      <w:r w:rsidRPr="002845C9">
        <w:rPr>
          <w:rFonts w:ascii="Arial" w:hAnsi="Arial" w:cs="Arial"/>
          <w:color w:val="010000"/>
          <w:sz w:val="20"/>
        </w:rPr>
        <w:t xml:space="preserve"> Power Services JSC’s production and business results 2023:</w:t>
      </w:r>
    </w:p>
    <w:p w14:paraId="3C1A4837" w14:textId="77777777" w:rsidR="00B11CC3" w:rsidRPr="002845C9" w:rsidRDefault="00377A6B" w:rsidP="00F31E04">
      <w:pPr>
        <w:numPr>
          <w:ilvl w:val="0"/>
          <w:numId w:val="2"/>
        </w:numPr>
        <w:pBdr>
          <w:top w:val="nil"/>
          <w:left w:val="nil"/>
          <w:bottom w:val="nil"/>
          <w:right w:val="nil"/>
          <w:between w:val="nil"/>
        </w:pBdr>
        <w:tabs>
          <w:tab w:val="left" w:pos="432"/>
          <w:tab w:val="left" w:pos="1139"/>
          <w:tab w:val="right" w:pos="7185"/>
        </w:tabs>
        <w:spacing w:after="120" w:line="360" w:lineRule="auto"/>
        <w:ind w:left="0" w:firstLine="0"/>
        <w:jc w:val="both"/>
        <w:rPr>
          <w:rFonts w:ascii="Arial" w:eastAsia="Arial" w:hAnsi="Arial" w:cs="Arial"/>
          <w:color w:val="010000"/>
          <w:sz w:val="20"/>
          <w:szCs w:val="20"/>
        </w:rPr>
      </w:pPr>
      <w:r w:rsidRPr="002845C9">
        <w:rPr>
          <w:rFonts w:ascii="Arial" w:hAnsi="Arial" w:cs="Arial"/>
          <w:color w:val="010000"/>
          <w:sz w:val="20"/>
        </w:rPr>
        <w:t>Total revenue: VND 310.5 billion</w:t>
      </w:r>
    </w:p>
    <w:p w14:paraId="57513661" w14:textId="77777777" w:rsidR="00B11CC3" w:rsidRPr="002845C9" w:rsidRDefault="00377A6B" w:rsidP="00F31E04">
      <w:pPr>
        <w:numPr>
          <w:ilvl w:val="0"/>
          <w:numId w:val="2"/>
        </w:numPr>
        <w:pBdr>
          <w:top w:val="nil"/>
          <w:left w:val="nil"/>
          <w:bottom w:val="nil"/>
          <w:right w:val="nil"/>
          <w:between w:val="nil"/>
        </w:pBdr>
        <w:tabs>
          <w:tab w:val="left" w:pos="432"/>
          <w:tab w:val="left" w:pos="1139"/>
          <w:tab w:val="right" w:pos="7185"/>
        </w:tabs>
        <w:spacing w:after="120" w:line="360" w:lineRule="auto"/>
        <w:ind w:left="0" w:firstLine="0"/>
        <w:jc w:val="both"/>
        <w:rPr>
          <w:rFonts w:ascii="Arial" w:eastAsia="Arial" w:hAnsi="Arial" w:cs="Arial"/>
          <w:color w:val="010000"/>
          <w:sz w:val="20"/>
          <w:szCs w:val="20"/>
        </w:rPr>
      </w:pPr>
      <w:r w:rsidRPr="002845C9">
        <w:rPr>
          <w:rFonts w:ascii="Arial" w:hAnsi="Arial" w:cs="Arial"/>
          <w:color w:val="010000"/>
          <w:sz w:val="20"/>
        </w:rPr>
        <w:t>Total expenses: VND 286.6 billion</w:t>
      </w:r>
    </w:p>
    <w:p w14:paraId="619FFD41" w14:textId="49A300CA" w:rsidR="00B11CC3" w:rsidRPr="002845C9" w:rsidRDefault="00377A6B" w:rsidP="00F31E04">
      <w:pPr>
        <w:numPr>
          <w:ilvl w:val="0"/>
          <w:numId w:val="2"/>
        </w:numPr>
        <w:pBdr>
          <w:top w:val="nil"/>
          <w:left w:val="nil"/>
          <w:bottom w:val="nil"/>
          <w:right w:val="nil"/>
          <w:between w:val="nil"/>
        </w:pBdr>
        <w:tabs>
          <w:tab w:val="left" w:pos="432"/>
          <w:tab w:val="left" w:pos="1139"/>
          <w:tab w:val="right" w:pos="7185"/>
        </w:tabs>
        <w:spacing w:after="120" w:line="360" w:lineRule="auto"/>
        <w:ind w:left="0" w:firstLine="0"/>
        <w:jc w:val="both"/>
        <w:rPr>
          <w:rFonts w:ascii="Arial" w:eastAsia="Arial" w:hAnsi="Arial" w:cs="Arial"/>
          <w:color w:val="010000"/>
          <w:sz w:val="20"/>
          <w:szCs w:val="20"/>
        </w:rPr>
      </w:pPr>
      <w:r w:rsidRPr="002845C9">
        <w:rPr>
          <w:rFonts w:ascii="Arial" w:hAnsi="Arial" w:cs="Arial"/>
          <w:color w:val="010000"/>
          <w:sz w:val="20"/>
        </w:rPr>
        <w:t xml:space="preserve">Profit before tax: VND 23.9 </w:t>
      </w:r>
      <w:r w:rsidR="002845C9" w:rsidRPr="002845C9">
        <w:rPr>
          <w:rFonts w:ascii="Arial" w:hAnsi="Arial" w:cs="Arial"/>
          <w:color w:val="010000"/>
          <w:sz w:val="20"/>
        </w:rPr>
        <w:t>billion</w:t>
      </w:r>
    </w:p>
    <w:p w14:paraId="51C39488" w14:textId="77777777" w:rsidR="00B11CC3" w:rsidRPr="002845C9" w:rsidRDefault="00377A6B" w:rsidP="00F31E04">
      <w:pPr>
        <w:numPr>
          <w:ilvl w:val="0"/>
          <w:numId w:val="2"/>
        </w:numPr>
        <w:pBdr>
          <w:top w:val="nil"/>
          <w:left w:val="nil"/>
          <w:bottom w:val="nil"/>
          <w:right w:val="nil"/>
          <w:between w:val="nil"/>
        </w:pBdr>
        <w:tabs>
          <w:tab w:val="left" w:pos="432"/>
          <w:tab w:val="left" w:pos="1139"/>
          <w:tab w:val="right" w:pos="7185"/>
        </w:tabs>
        <w:spacing w:after="120" w:line="360" w:lineRule="auto"/>
        <w:ind w:left="0" w:firstLine="0"/>
        <w:jc w:val="both"/>
        <w:rPr>
          <w:rFonts w:ascii="Arial" w:eastAsia="Arial" w:hAnsi="Arial" w:cs="Arial"/>
          <w:color w:val="010000"/>
          <w:sz w:val="20"/>
          <w:szCs w:val="20"/>
        </w:rPr>
      </w:pPr>
      <w:r w:rsidRPr="002845C9">
        <w:rPr>
          <w:rFonts w:ascii="Arial" w:hAnsi="Arial" w:cs="Arial"/>
          <w:color w:val="010000"/>
          <w:sz w:val="20"/>
        </w:rPr>
        <w:t>Profit after tax: VND 17.7 billion</w:t>
      </w:r>
    </w:p>
    <w:p w14:paraId="57261127" w14:textId="77777777" w:rsidR="00B11CC3" w:rsidRPr="002845C9" w:rsidRDefault="00377A6B" w:rsidP="00F31E04">
      <w:pPr>
        <w:numPr>
          <w:ilvl w:val="0"/>
          <w:numId w:val="1"/>
        </w:numPr>
        <w:pBdr>
          <w:top w:val="nil"/>
          <w:left w:val="nil"/>
          <w:bottom w:val="nil"/>
          <w:right w:val="nil"/>
          <w:between w:val="nil"/>
        </w:pBdr>
        <w:tabs>
          <w:tab w:val="left" w:pos="432"/>
          <w:tab w:val="left" w:pos="1139"/>
          <w:tab w:val="right" w:pos="7185"/>
        </w:tabs>
        <w:spacing w:after="120" w:line="360" w:lineRule="auto"/>
        <w:ind w:left="0" w:firstLine="0"/>
        <w:jc w:val="both"/>
        <w:rPr>
          <w:rFonts w:ascii="Arial" w:eastAsia="Arial" w:hAnsi="Arial" w:cs="Arial"/>
          <w:color w:val="010000"/>
          <w:sz w:val="20"/>
          <w:szCs w:val="20"/>
        </w:rPr>
      </w:pPr>
      <w:r w:rsidRPr="002845C9">
        <w:rPr>
          <w:rFonts w:ascii="Arial" w:hAnsi="Arial" w:cs="Arial"/>
          <w:color w:val="010000"/>
          <w:sz w:val="20"/>
        </w:rPr>
        <w:t xml:space="preserve">Approve </w:t>
      </w:r>
      <w:proofErr w:type="spellStart"/>
      <w:r w:rsidRPr="002845C9">
        <w:rPr>
          <w:rFonts w:ascii="Arial" w:hAnsi="Arial" w:cs="Arial"/>
          <w:color w:val="010000"/>
          <w:sz w:val="20"/>
        </w:rPr>
        <w:t>Petrovietnam</w:t>
      </w:r>
      <w:proofErr w:type="spellEnd"/>
      <w:r w:rsidRPr="002845C9">
        <w:rPr>
          <w:rFonts w:ascii="Arial" w:hAnsi="Arial" w:cs="Arial"/>
          <w:color w:val="010000"/>
          <w:sz w:val="20"/>
        </w:rPr>
        <w:t xml:space="preserve"> Power Services JSC’s production and business plan 2024:</w:t>
      </w:r>
    </w:p>
    <w:p w14:paraId="6A6CE6A6" w14:textId="77777777" w:rsidR="00B11CC3" w:rsidRPr="002845C9" w:rsidRDefault="00377A6B" w:rsidP="00F31E0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Total revenue: VND 263.4 billion</w:t>
      </w:r>
    </w:p>
    <w:p w14:paraId="6ED95434" w14:textId="77777777" w:rsidR="00B11CC3" w:rsidRPr="002845C9" w:rsidRDefault="00377A6B" w:rsidP="00F31E0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Total expenses: VND 242.6 billion</w:t>
      </w:r>
    </w:p>
    <w:p w14:paraId="2280504B" w14:textId="4EFAF52F" w:rsidR="00B11CC3" w:rsidRPr="002845C9" w:rsidRDefault="00377A6B" w:rsidP="00F31E0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Profit before tax: VND 20.8 </w:t>
      </w:r>
      <w:r w:rsidR="002845C9" w:rsidRPr="002845C9">
        <w:rPr>
          <w:rFonts w:ascii="Arial" w:hAnsi="Arial" w:cs="Arial"/>
          <w:color w:val="010000"/>
          <w:sz w:val="20"/>
        </w:rPr>
        <w:t>billion</w:t>
      </w:r>
    </w:p>
    <w:p w14:paraId="2F951B66" w14:textId="77777777" w:rsidR="00B11CC3" w:rsidRPr="002845C9" w:rsidRDefault="00377A6B" w:rsidP="00F31E0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after tax: VND 16.6 billion</w:t>
      </w:r>
    </w:p>
    <w:p w14:paraId="0648DCD8"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‎‎Article 2. Approve the Report on Supervisory activity results 2023 and the Supervisory </w:t>
      </w:r>
      <w:proofErr w:type="gramStart"/>
      <w:r w:rsidRPr="002845C9">
        <w:rPr>
          <w:rFonts w:ascii="Arial" w:hAnsi="Arial" w:cs="Arial"/>
          <w:color w:val="010000"/>
          <w:sz w:val="20"/>
        </w:rPr>
        <w:t>activity</w:t>
      </w:r>
      <w:proofErr w:type="gramEnd"/>
      <w:r w:rsidRPr="002845C9">
        <w:rPr>
          <w:rFonts w:ascii="Arial" w:hAnsi="Arial" w:cs="Arial"/>
          <w:color w:val="010000"/>
          <w:sz w:val="20"/>
        </w:rPr>
        <w:t xml:space="preserve"> Plan for 2024.</w:t>
      </w:r>
    </w:p>
    <w:p w14:paraId="344CF434"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3. Approve the Audited Financial Statements in 2023.</w:t>
      </w:r>
    </w:p>
    <w:p w14:paraId="07414F67"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4. Approve the profit distribution plan in 2023 and the profit distribution plan for 2024.</w:t>
      </w:r>
    </w:p>
    <w:p w14:paraId="6F8FD418" w14:textId="77777777" w:rsidR="00B11CC3" w:rsidRPr="002845C9" w:rsidRDefault="00377A6B" w:rsidP="00F31E04">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 Approve the distribution plan of remaining profit until the end of 2023</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584"/>
        <w:gridCol w:w="4089"/>
        <w:gridCol w:w="2214"/>
        <w:gridCol w:w="2120"/>
      </w:tblGrid>
      <w:tr w:rsidR="00B11CC3" w:rsidRPr="002845C9" w14:paraId="786C9473" w14:textId="77777777" w:rsidTr="009D0C3E">
        <w:tc>
          <w:tcPr>
            <w:tcW w:w="324" w:type="pct"/>
            <w:vMerge w:val="restar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7BC886F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No.</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56EEA173"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Target</w:t>
            </w:r>
          </w:p>
        </w:tc>
        <w:tc>
          <w:tcPr>
            <w:tcW w:w="2406" w:type="pct"/>
            <w:gridSpan w:val="2"/>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1BB48C0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Distribution of realized profits in 2023 (VND)</w:t>
            </w:r>
          </w:p>
        </w:tc>
      </w:tr>
      <w:tr w:rsidR="00B11CC3" w:rsidRPr="002845C9" w14:paraId="4E1C662D" w14:textId="77777777" w:rsidTr="009D0C3E">
        <w:tc>
          <w:tcPr>
            <w:tcW w:w="324" w:type="pct"/>
            <w:vMerge/>
            <w:tcBorders>
              <w:top w:val="single" w:sz="8" w:space="0" w:color="000000"/>
              <w:left w:val="single" w:sz="8" w:space="0" w:color="000000"/>
              <w:bottom w:val="nil"/>
              <w:right w:val="nil"/>
            </w:tcBorders>
            <w:shd w:val="clear" w:color="auto" w:fill="auto"/>
            <w:tcMar>
              <w:top w:w="100" w:type="dxa"/>
              <w:left w:w="100" w:type="dxa"/>
              <w:bottom w:w="100" w:type="dxa"/>
              <w:right w:w="100" w:type="dxa"/>
            </w:tcMar>
            <w:vAlign w:val="center"/>
          </w:tcPr>
          <w:p w14:paraId="7887EA8C" w14:textId="77777777" w:rsidR="00B11CC3" w:rsidRPr="002845C9" w:rsidRDefault="00B11CC3" w:rsidP="009D0C3E">
            <w:pPr>
              <w:tabs>
                <w:tab w:val="left" w:pos="432"/>
              </w:tabs>
              <w:spacing w:after="120" w:line="360" w:lineRule="auto"/>
              <w:jc w:val="both"/>
              <w:rPr>
                <w:rFonts w:ascii="Arial" w:eastAsia="Arial" w:hAnsi="Arial" w:cs="Arial"/>
                <w:color w:val="010000"/>
                <w:sz w:val="20"/>
                <w:szCs w:val="20"/>
              </w:rPr>
            </w:pP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113DF6EC"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 </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11366B2B"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2023 Plan</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6FBA0345"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2023 Results</w:t>
            </w:r>
          </w:p>
        </w:tc>
      </w:tr>
      <w:tr w:rsidR="00B11CC3" w:rsidRPr="002845C9" w14:paraId="020B545C"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288ACC8"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405945BB"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after tax</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BD4DEF1"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16,621,000,000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70798C61"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17,690,519,694</w:t>
            </w:r>
          </w:p>
        </w:tc>
      </w:tr>
      <w:tr w:rsidR="00B11CC3" w:rsidRPr="002845C9" w14:paraId="006B4A87"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07B00F4A"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0847306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after tax in 2023</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2E18917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16,621,000,000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7F913355"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17,690,519,694</w:t>
            </w:r>
          </w:p>
        </w:tc>
      </w:tr>
      <w:tr w:rsidR="00B11CC3" w:rsidRPr="002845C9" w14:paraId="1A2337F3"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2F16E041"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II</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1BA5F4D5"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Allocation and appropriation for Funds from profit after tax</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48AE5ED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3,324,200,000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64793CE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3,538,103,939</w:t>
            </w:r>
          </w:p>
        </w:tc>
      </w:tr>
      <w:tr w:rsidR="00B11CC3" w:rsidRPr="002845C9" w14:paraId="3688E7B3"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542635A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58E603D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Collective welfare fund (10%)</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0B2F2335"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1,662,100,000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2A666DA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1,769,051,969</w:t>
            </w:r>
          </w:p>
        </w:tc>
      </w:tr>
      <w:tr w:rsidR="00B11CC3" w:rsidRPr="002845C9" w14:paraId="0EE05280"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D2D7D91"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1536FEB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Bonus fund (10%)</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79D6808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1,662,100,000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350EABC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1,769,051,969</w:t>
            </w:r>
          </w:p>
        </w:tc>
      </w:tr>
      <w:tr w:rsidR="00B11CC3" w:rsidRPr="002845C9" w14:paraId="18A0341D"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4EC9B93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lastRenderedPageBreak/>
              <w:t>III</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2BD4309A"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after tax to pay dividends</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06595CD0"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13,365,626,262</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2D4A5B60"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14,221,242,017</w:t>
            </w:r>
          </w:p>
        </w:tc>
      </w:tr>
      <w:tr w:rsidR="00B11CC3" w:rsidRPr="002845C9" w14:paraId="38EA1DE5" w14:textId="77777777" w:rsidTr="009D0C3E">
        <w:tc>
          <w:tcPr>
            <w:tcW w:w="324" w:type="pct"/>
            <w:tcBorders>
              <w:top w:val="single" w:sz="8" w:space="0" w:color="000000"/>
              <w:left w:val="single" w:sz="8" w:space="0" w:color="000000"/>
              <w:bottom w:val="single" w:sz="8" w:space="0" w:color="000000"/>
              <w:right w:val="nil"/>
            </w:tcBorders>
            <w:shd w:val="clear" w:color="auto" w:fill="auto"/>
            <w:tcMar>
              <w:top w:w="0" w:type="dxa"/>
              <w:left w:w="20" w:type="dxa"/>
              <w:bottom w:w="0" w:type="dxa"/>
              <w:right w:w="20" w:type="dxa"/>
            </w:tcMar>
            <w:vAlign w:val="center"/>
          </w:tcPr>
          <w:p w14:paraId="54FC05E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w:t>
            </w:r>
          </w:p>
        </w:tc>
        <w:tc>
          <w:tcPr>
            <w:tcW w:w="2270" w:type="pct"/>
            <w:tcBorders>
              <w:top w:val="single" w:sz="8" w:space="0" w:color="000000"/>
              <w:left w:val="single" w:sz="8" w:space="0" w:color="000000"/>
              <w:bottom w:val="single" w:sz="8" w:space="0" w:color="000000"/>
              <w:right w:val="nil"/>
            </w:tcBorders>
            <w:shd w:val="clear" w:color="auto" w:fill="auto"/>
            <w:tcMar>
              <w:top w:w="0" w:type="dxa"/>
              <w:left w:w="20" w:type="dxa"/>
              <w:bottom w:w="0" w:type="dxa"/>
              <w:right w:w="20" w:type="dxa"/>
            </w:tcMar>
            <w:vAlign w:val="center"/>
          </w:tcPr>
          <w:p w14:paraId="637ACEF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Last year's undistributed profits</w:t>
            </w:r>
          </w:p>
        </w:tc>
        <w:tc>
          <w:tcPr>
            <w:tcW w:w="1229" w:type="pct"/>
            <w:tcBorders>
              <w:top w:val="single" w:sz="8" w:space="0" w:color="000000"/>
              <w:left w:val="single" w:sz="8" w:space="0" w:color="000000"/>
              <w:bottom w:val="single" w:sz="8" w:space="0" w:color="000000"/>
              <w:right w:val="nil"/>
            </w:tcBorders>
            <w:shd w:val="clear" w:color="auto" w:fill="auto"/>
            <w:tcMar>
              <w:top w:w="0" w:type="dxa"/>
              <w:left w:w="20" w:type="dxa"/>
              <w:bottom w:w="0" w:type="dxa"/>
              <w:right w:w="20" w:type="dxa"/>
            </w:tcMar>
            <w:vAlign w:val="center"/>
          </w:tcPr>
          <w:p w14:paraId="7963FE4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68,826,262</w:t>
            </w:r>
          </w:p>
        </w:tc>
        <w:tc>
          <w:tcPr>
            <w:tcW w:w="1177" w:type="pct"/>
            <w:tcBorders>
              <w:top w:val="single" w:sz="8" w:space="0" w:color="000000"/>
              <w:left w:val="single" w:sz="8" w:space="0" w:color="000000"/>
              <w:bottom w:val="single" w:sz="8" w:space="0" w:color="000000"/>
              <w:right w:val="single" w:sz="8" w:space="0" w:color="000000"/>
            </w:tcBorders>
            <w:shd w:val="clear" w:color="auto" w:fill="auto"/>
            <w:tcMar>
              <w:top w:w="0" w:type="dxa"/>
              <w:left w:w="20" w:type="dxa"/>
              <w:bottom w:w="0" w:type="dxa"/>
              <w:right w:w="20" w:type="dxa"/>
            </w:tcMar>
            <w:vAlign w:val="center"/>
          </w:tcPr>
          <w:p w14:paraId="0C1FBED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68,826,262</w:t>
            </w:r>
          </w:p>
        </w:tc>
      </w:tr>
      <w:tr w:rsidR="00B11CC3" w:rsidRPr="002845C9" w14:paraId="27BA88F6" w14:textId="77777777" w:rsidTr="009D0C3E">
        <w:tc>
          <w:tcPr>
            <w:tcW w:w="324" w:type="pct"/>
            <w:tcBorders>
              <w:top w:val="nil"/>
              <w:left w:val="single" w:sz="8" w:space="0" w:color="000000"/>
              <w:bottom w:val="nil"/>
              <w:right w:val="nil"/>
            </w:tcBorders>
            <w:shd w:val="clear" w:color="auto" w:fill="auto"/>
            <w:tcMar>
              <w:top w:w="0" w:type="dxa"/>
              <w:left w:w="20" w:type="dxa"/>
              <w:bottom w:w="0" w:type="dxa"/>
              <w:right w:w="20" w:type="dxa"/>
            </w:tcMar>
            <w:vAlign w:val="center"/>
          </w:tcPr>
          <w:p w14:paraId="0889AC7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w:t>
            </w:r>
          </w:p>
        </w:tc>
        <w:tc>
          <w:tcPr>
            <w:tcW w:w="2270" w:type="pct"/>
            <w:tcBorders>
              <w:top w:val="nil"/>
              <w:left w:val="single" w:sz="8" w:space="0" w:color="000000"/>
              <w:bottom w:val="nil"/>
              <w:right w:val="nil"/>
            </w:tcBorders>
            <w:shd w:val="clear" w:color="auto" w:fill="auto"/>
            <w:tcMar>
              <w:top w:w="0" w:type="dxa"/>
              <w:left w:w="20" w:type="dxa"/>
              <w:bottom w:w="0" w:type="dxa"/>
              <w:right w:w="20" w:type="dxa"/>
            </w:tcMar>
            <w:vAlign w:val="center"/>
          </w:tcPr>
          <w:p w14:paraId="24AA15A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Net profit realized in 2022</w:t>
            </w:r>
          </w:p>
        </w:tc>
        <w:tc>
          <w:tcPr>
            <w:tcW w:w="1229" w:type="pct"/>
            <w:tcBorders>
              <w:top w:val="nil"/>
              <w:left w:val="single" w:sz="8" w:space="0" w:color="000000"/>
              <w:bottom w:val="nil"/>
              <w:right w:val="nil"/>
            </w:tcBorders>
            <w:shd w:val="clear" w:color="auto" w:fill="auto"/>
            <w:tcMar>
              <w:top w:w="0" w:type="dxa"/>
              <w:left w:w="20" w:type="dxa"/>
              <w:bottom w:w="0" w:type="dxa"/>
              <w:right w:w="20" w:type="dxa"/>
            </w:tcMar>
            <w:vAlign w:val="center"/>
          </w:tcPr>
          <w:p w14:paraId="2C0D0833"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13,296,800,000</w:t>
            </w:r>
          </w:p>
        </w:tc>
        <w:tc>
          <w:tcPr>
            <w:tcW w:w="1177" w:type="pct"/>
            <w:tcBorders>
              <w:top w:val="nil"/>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0B005B48"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14,152,415,755</w:t>
            </w:r>
          </w:p>
        </w:tc>
      </w:tr>
      <w:tr w:rsidR="00B11CC3" w:rsidRPr="002845C9" w14:paraId="00E05092"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A251ADC"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IV</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C844D6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for this year’s dividend payment</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A9B30D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13,350,000,000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6EAD13D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14,100,000,000</w:t>
            </w:r>
          </w:p>
        </w:tc>
      </w:tr>
      <w:tr w:rsidR="00B11CC3" w:rsidRPr="002845C9" w14:paraId="77B6D69E" w14:textId="77777777" w:rsidTr="009D0C3E">
        <w:tc>
          <w:tcPr>
            <w:tcW w:w="324"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387F9C93"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V</w:t>
            </w:r>
          </w:p>
        </w:tc>
        <w:tc>
          <w:tcPr>
            <w:tcW w:w="2270"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12A67B5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Dividend payment rate per share</w:t>
            </w:r>
          </w:p>
        </w:tc>
        <w:tc>
          <w:tcPr>
            <w:tcW w:w="1229" w:type="pct"/>
            <w:tcBorders>
              <w:top w:val="single" w:sz="8" w:space="0" w:color="000000"/>
              <w:left w:val="single" w:sz="8" w:space="0" w:color="000000"/>
              <w:bottom w:val="nil"/>
              <w:right w:val="nil"/>
            </w:tcBorders>
            <w:shd w:val="clear" w:color="auto" w:fill="auto"/>
            <w:tcMar>
              <w:top w:w="0" w:type="dxa"/>
              <w:left w:w="20" w:type="dxa"/>
              <w:bottom w:w="0" w:type="dxa"/>
              <w:right w:w="20" w:type="dxa"/>
            </w:tcMar>
            <w:vAlign w:val="center"/>
          </w:tcPr>
          <w:p w14:paraId="17D65F92"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8.90%</w:t>
            </w:r>
          </w:p>
        </w:tc>
        <w:tc>
          <w:tcPr>
            <w:tcW w:w="1177" w:type="pct"/>
            <w:tcBorders>
              <w:top w:val="single" w:sz="8" w:space="0" w:color="000000"/>
              <w:left w:val="single" w:sz="8" w:space="0" w:color="000000"/>
              <w:bottom w:val="nil"/>
              <w:right w:val="single" w:sz="8" w:space="0" w:color="000000"/>
            </w:tcBorders>
            <w:shd w:val="clear" w:color="auto" w:fill="auto"/>
            <w:tcMar>
              <w:top w:w="0" w:type="dxa"/>
              <w:left w:w="20" w:type="dxa"/>
              <w:bottom w:w="0" w:type="dxa"/>
              <w:right w:w="20" w:type="dxa"/>
            </w:tcMar>
            <w:vAlign w:val="center"/>
          </w:tcPr>
          <w:p w14:paraId="161D28E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9.40%</w:t>
            </w:r>
          </w:p>
        </w:tc>
      </w:tr>
      <w:tr w:rsidR="00B11CC3" w:rsidRPr="002845C9" w14:paraId="6D74083F" w14:textId="77777777" w:rsidTr="009D0C3E">
        <w:tc>
          <w:tcPr>
            <w:tcW w:w="324" w:type="pct"/>
            <w:tcBorders>
              <w:top w:val="single" w:sz="8" w:space="0" w:color="000000"/>
              <w:left w:val="single" w:sz="8" w:space="0" w:color="000000"/>
              <w:bottom w:val="single" w:sz="8" w:space="0" w:color="000000"/>
              <w:right w:val="nil"/>
            </w:tcBorders>
            <w:shd w:val="clear" w:color="auto" w:fill="auto"/>
            <w:tcMar>
              <w:top w:w="0" w:type="dxa"/>
              <w:left w:w="20" w:type="dxa"/>
              <w:bottom w:w="0" w:type="dxa"/>
              <w:right w:w="20" w:type="dxa"/>
            </w:tcMar>
            <w:vAlign w:val="center"/>
          </w:tcPr>
          <w:p w14:paraId="3C546E2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VI</w:t>
            </w:r>
          </w:p>
        </w:tc>
        <w:tc>
          <w:tcPr>
            <w:tcW w:w="2270" w:type="pct"/>
            <w:tcBorders>
              <w:top w:val="single" w:sz="8" w:space="0" w:color="000000"/>
              <w:left w:val="single" w:sz="8" w:space="0" w:color="000000"/>
              <w:bottom w:val="single" w:sz="8" w:space="0" w:color="000000"/>
              <w:right w:val="nil"/>
            </w:tcBorders>
            <w:shd w:val="clear" w:color="auto" w:fill="auto"/>
            <w:tcMar>
              <w:top w:w="0" w:type="dxa"/>
              <w:left w:w="20" w:type="dxa"/>
              <w:bottom w:w="0" w:type="dxa"/>
              <w:right w:w="20" w:type="dxa"/>
            </w:tcMar>
            <w:vAlign w:val="center"/>
          </w:tcPr>
          <w:p w14:paraId="0E12804C"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Retained profit for next year's dividend payment</w:t>
            </w:r>
          </w:p>
        </w:tc>
        <w:tc>
          <w:tcPr>
            <w:tcW w:w="1229" w:type="pct"/>
            <w:tcBorders>
              <w:top w:val="single" w:sz="8" w:space="0" w:color="000000"/>
              <w:left w:val="single" w:sz="8" w:space="0" w:color="000000"/>
              <w:bottom w:val="single" w:sz="8" w:space="0" w:color="000000"/>
              <w:right w:val="nil"/>
            </w:tcBorders>
            <w:shd w:val="clear" w:color="auto" w:fill="auto"/>
            <w:tcMar>
              <w:top w:w="0" w:type="dxa"/>
              <w:left w:w="20" w:type="dxa"/>
              <w:bottom w:w="0" w:type="dxa"/>
              <w:right w:w="20" w:type="dxa"/>
            </w:tcMar>
            <w:vAlign w:val="center"/>
          </w:tcPr>
          <w:p w14:paraId="76D0AAF0"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15,626,262</w:t>
            </w:r>
          </w:p>
        </w:tc>
        <w:tc>
          <w:tcPr>
            <w:tcW w:w="1177" w:type="pct"/>
            <w:tcBorders>
              <w:top w:val="single" w:sz="8" w:space="0" w:color="000000"/>
              <w:left w:val="single" w:sz="8" w:space="0" w:color="000000"/>
              <w:bottom w:val="single" w:sz="8" w:space="0" w:color="000000"/>
              <w:right w:val="single" w:sz="8" w:space="0" w:color="000000"/>
            </w:tcBorders>
            <w:shd w:val="clear" w:color="auto" w:fill="auto"/>
            <w:tcMar>
              <w:top w:w="0" w:type="dxa"/>
              <w:left w:w="20" w:type="dxa"/>
              <w:bottom w:w="0" w:type="dxa"/>
              <w:right w:w="20" w:type="dxa"/>
            </w:tcMar>
            <w:vAlign w:val="center"/>
          </w:tcPr>
          <w:p w14:paraId="3E3AB665"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121,242,017</w:t>
            </w:r>
          </w:p>
        </w:tc>
      </w:tr>
    </w:tbl>
    <w:p w14:paraId="176D44A3"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 Profit distribution plan for 2024</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60"/>
        <w:gridCol w:w="4457"/>
        <w:gridCol w:w="1746"/>
        <w:gridCol w:w="2144"/>
      </w:tblGrid>
      <w:tr w:rsidR="00B11CC3" w:rsidRPr="002845C9" w14:paraId="17DAA894" w14:textId="77777777" w:rsidTr="009D0C3E">
        <w:tc>
          <w:tcPr>
            <w:tcW w:w="366" w:type="pct"/>
            <w:shd w:val="clear" w:color="auto" w:fill="auto"/>
            <w:tcMar>
              <w:top w:w="0" w:type="dxa"/>
              <w:left w:w="20" w:type="dxa"/>
              <w:bottom w:w="0" w:type="dxa"/>
              <w:right w:w="20" w:type="dxa"/>
            </w:tcMar>
            <w:vAlign w:val="center"/>
          </w:tcPr>
          <w:p w14:paraId="55EEDC7B"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No.</w:t>
            </w:r>
          </w:p>
        </w:tc>
        <w:tc>
          <w:tcPr>
            <w:tcW w:w="2474" w:type="pct"/>
            <w:shd w:val="clear" w:color="auto" w:fill="auto"/>
            <w:tcMar>
              <w:top w:w="0" w:type="dxa"/>
              <w:left w:w="20" w:type="dxa"/>
              <w:bottom w:w="0" w:type="dxa"/>
              <w:right w:w="20" w:type="dxa"/>
            </w:tcMar>
            <w:vAlign w:val="center"/>
          </w:tcPr>
          <w:p w14:paraId="478D4E8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Target</w:t>
            </w:r>
          </w:p>
        </w:tc>
        <w:tc>
          <w:tcPr>
            <w:tcW w:w="969" w:type="pct"/>
            <w:shd w:val="clear" w:color="auto" w:fill="auto"/>
            <w:tcMar>
              <w:top w:w="0" w:type="dxa"/>
              <w:left w:w="20" w:type="dxa"/>
              <w:bottom w:w="0" w:type="dxa"/>
              <w:right w:w="20" w:type="dxa"/>
            </w:tcMar>
            <w:vAlign w:val="center"/>
          </w:tcPr>
          <w:p w14:paraId="130A3D7B"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Unit</w:t>
            </w:r>
          </w:p>
        </w:tc>
        <w:tc>
          <w:tcPr>
            <w:tcW w:w="1190" w:type="pct"/>
            <w:shd w:val="clear" w:color="auto" w:fill="auto"/>
            <w:tcMar>
              <w:top w:w="0" w:type="dxa"/>
              <w:left w:w="20" w:type="dxa"/>
              <w:bottom w:w="0" w:type="dxa"/>
              <w:right w:w="20" w:type="dxa"/>
            </w:tcMar>
            <w:vAlign w:val="center"/>
          </w:tcPr>
          <w:p w14:paraId="0AE5402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Amount</w:t>
            </w:r>
          </w:p>
        </w:tc>
      </w:tr>
      <w:tr w:rsidR="00B11CC3" w:rsidRPr="002845C9" w14:paraId="14AB588C" w14:textId="77777777" w:rsidTr="009D0C3E">
        <w:tc>
          <w:tcPr>
            <w:tcW w:w="366" w:type="pct"/>
            <w:shd w:val="clear" w:color="auto" w:fill="auto"/>
            <w:tcMar>
              <w:top w:w="0" w:type="dxa"/>
              <w:left w:w="20" w:type="dxa"/>
              <w:bottom w:w="0" w:type="dxa"/>
              <w:right w:w="20" w:type="dxa"/>
            </w:tcMar>
            <w:vAlign w:val="center"/>
          </w:tcPr>
          <w:p w14:paraId="3A820723"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w:t>
            </w:r>
          </w:p>
        </w:tc>
        <w:tc>
          <w:tcPr>
            <w:tcW w:w="2474" w:type="pct"/>
            <w:shd w:val="clear" w:color="auto" w:fill="auto"/>
            <w:tcMar>
              <w:top w:w="0" w:type="dxa"/>
              <w:left w:w="20" w:type="dxa"/>
              <w:bottom w:w="0" w:type="dxa"/>
              <w:right w:w="20" w:type="dxa"/>
            </w:tcMar>
            <w:vAlign w:val="center"/>
          </w:tcPr>
          <w:p w14:paraId="2958AD99"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before tax</w:t>
            </w:r>
          </w:p>
        </w:tc>
        <w:tc>
          <w:tcPr>
            <w:tcW w:w="969" w:type="pct"/>
            <w:shd w:val="clear" w:color="auto" w:fill="auto"/>
            <w:tcMar>
              <w:top w:w="0" w:type="dxa"/>
              <w:left w:w="20" w:type="dxa"/>
              <w:bottom w:w="0" w:type="dxa"/>
              <w:right w:w="20" w:type="dxa"/>
            </w:tcMar>
            <w:vAlign w:val="center"/>
          </w:tcPr>
          <w:p w14:paraId="4A087EEE"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Billion VND</w:t>
            </w:r>
          </w:p>
        </w:tc>
        <w:tc>
          <w:tcPr>
            <w:tcW w:w="1190" w:type="pct"/>
            <w:shd w:val="clear" w:color="auto" w:fill="auto"/>
            <w:tcMar>
              <w:top w:w="0" w:type="dxa"/>
              <w:left w:w="20" w:type="dxa"/>
              <w:bottom w:w="0" w:type="dxa"/>
              <w:right w:w="20" w:type="dxa"/>
            </w:tcMar>
            <w:vAlign w:val="center"/>
          </w:tcPr>
          <w:p w14:paraId="42FA3AB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20.78</w:t>
            </w:r>
          </w:p>
        </w:tc>
      </w:tr>
      <w:tr w:rsidR="00B11CC3" w:rsidRPr="002845C9" w14:paraId="07C7B9A4" w14:textId="77777777" w:rsidTr="009D0C3E">
        <w:tc>
          <w:tcPr>
            <w:tcW w:w="366" w:type="pct"/>
            <w:shd w:val="clear" w:color="auto" w:fill="auto"/>
            <w:tcMar>
              <w:top w:w="0" w:type="dxa"/>
              <w:left w:w="20" w:type="dxa"/>
              <w:bottom w:w="0" w:type="dxa"/>
              <w:right w:w="20" w:type="dxa"/>
            </w:tcMar>
            <w:vAlign w:val="center"/>
          </w:tcPr>
          <w:p w14:paraId="0C70B31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II</w:t>
            </w:r>
          </w:p>
        </w:tc>
        <w:tc>
          <w:tcPr>
            <w:tcW w:w="2474" w:type="pct"/>
            <w:shd w:val="clear" w:color="auto" w:fill="auto"/>
            <w:tcMar>
              <w:top w:w="0" w:type="dxa"/>
              <w:left w:w="20" w:type="dxa"/>
              <w:bottom w:w="0" w:type="dxa"/>
              <w:right w:w="20" w:type="dxa"/>
            </w:tcMar>
            <w:vAlign w:val="center"/>
          </w:tcPr>
          <w:p w14:paraId="5A92ACE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after tax</w:t>
            </w:r>
          </w:p>
        </w:tc>
        <w:tc>
          <w:tcPr>
            <w:tcW w:w="969" w:type="pct"/>
            <w:shd w:val="clear" w:color="auto" w:fill="auto"/>
            <w:tcMar>
              <w:top w:w="0" w:type="dxa"/>
              <w:left w:w="20" w:type="dxa"/>
              <w:bottom w:w="0" w:type="dxa"/>
              <w:right w:w="20" w:type="dxa"/>
            </w:tcMar>
            <w:vAlign w:val="center"/>
          </w:tcPr>
          <w:p w14:paraId="4800F5C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Billion VND</w:t>
            </w:r>
          </w:p>
        </w:tc>
        <w:tc>
          <w:tcPr>
            <w:tcW w:w="1190" w:type="pct"/>
            <w:shd w:val="clear" w:color="auto" w:fill="auto"/>
            <w:tcMar>
              <w:top w:w="0" w:type="dxa"/>
              <w:left w:w="20" w:type="dxa"/>
              <w:bottom w:w="0" w:type="dxa"/>
              <w:right w:w="20" w:type="dxa"/>
            </w:tcMar>
            <w:vAlign w:val="center"/>
          </w:tcPr>
          <w:p w14:paraId="67E2EDB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16.62</w:t>
            </w:r>
          </w:p>
        </w:tc>
      </w:tr>
      <w:tr w:rsidR="00B11CC3" w:rsidRPr="002845C9" w14:paraId="000A6591" w14:textId="77777777" w:rsidTr="009D0C3E">
        <w:tc>
          <w:tcPr>
            <w:tcW w:w="366" w:type="pct"/>
            <w:shd w:val="clear" w:color="auto" w:fill="auto"/>
            <w:tcMar>
              <w:top w:w="0" w:type="dxa"/>
              <w:left w:w="20" w:type="dxa"/>
              <w:bottom w:w="0" w:type="dxa"/>
              <w:right w:w="20" w:type="dxa"/>
            </w:tcMar>
            <w:vAlign w:val="center"/>
          </w:tcPr>
          <w:p w14:paraId="142988B8"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III</w:t>
            </w:r>
          </w:p>
        </w:tc>
        <w:tc>
          <w:tcPr>
            <w:tcW w:w="2474" w:type="pct"/>
            <w:shd w:val="clear" w:color="auto" w:fill="auto"/>
            <w:tcMar>
              <w:top w:w="0" w:type="dxa"/>
              <w:left w:w="20" w:type="dxa"/>
              <w:bottom w:w="0" w:type="dxa"/>
              <w:right w:w="20" w:type="dxa"/>
            </w:tcMar>
            <w:vAlign w:val="center"/>
          </w:tcPr>
          <w:p w14:paraId="186EC0E8"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Appropriation for funds</w:t>
            </w:r>
          </w:p>
        </w:tc>
        <w:tc>
          <w:tcPr>
            <w:tcW w:w="969" w:type="pct"/>
            <w:shd w:val="clear" w:color="auto" w:fill="auto"/>
            <w:tcMar>
              <w:top w:w="0" w:type="dxa"/>
              <w:left w:w="20" w:type="dxa"/>
              <w:bottom w:w="0" w:type="dxa"/>
              <w:right w:w="20" w:type="dxa"/>
            </w:tcMar>
            <w:vAlign w:val="center"/>
          </w:tcPr>
          <w:p w14:paraId="6BEB3163"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Billion VND</w:t>
            </w:r>
          </w:p>
        </w:tc>
        <w:tc>
          <w:tcPr>
            <w:tcW w:w="1190" w:type="pct"/>
            <w:shd w:val="clear" w:color="auto" w:fill="auto"/>
            <w:tcMar>
              <w:top w:w="0" w:type="dxa"/>
              <w:left w:w="20" w:type="dxa"/>
              <w:bottom w:w="0" w:type="dxa"/>
              <w:right w:w="20" w:type="dxa"/>
            </w:tcMar>
            <w:vAlign w:val="center"/>
          </w:tcPr>
          <w:p w14:paraId="38D28A24"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3.32</w:t>
            </w:r>
          </w:p>
        </w:tc>
      </w:tr>
      <w:tr w:rsidR="00B11CC3" w:rsidRPr="002845C9" w14:paraId="7FB1BEDC" w14:textId="77777777" w:rsidTr="009D0C3E">
        <w:tc>
          <w:tcPr>
            <w:tcW w:w="366" w:type="pct"/>
            <w:shd w:val="clear" w:color="auto" w:fill="auto"/>
            <w:tcMar>
              <w:top w:w="0" w:type="dxa"/>
              <w:left w:w="20" w:type="dxa"/>
              <w:bottom w:w="0" w:type="dxa"/>
              <w:right w:w="20" w:type="dxa"/>
            </w:tcMar>
            <w:vAlign w:val="center"/>
          </w:tcPr>
          <w:p w14:paraId="29E7210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w:t>
            </w:r>
          </w:p>
        </w:tc>
        <w:tc>
          <w:tcPr>
            <w:tcW w:w="2474" w:type="pct"/>
            <w:shd w:val="clear" w:color="auto" w:fill="auto"/>
            <w:tcMar>
              <w:top w:w="0" w:type="dxa"/>
              <w:left w:w="20" w:type="dxa"/>
              <w:bottom w:w="0" w:type="dxa"/>
              <w:right w:w="20" w:type="dxa"/>
            </w:tcMar>
            <w:vAlign w:val="center"/>
          </w:tcPr>
          <w:p w14:paraId="22EAC99C"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Collective welfare fund (10%)</w:t>
            </w:r>
          </w:p>
        </w:tc>
        <w:tc>
          <w:tcPr>
            <w:tcW w:w="969" w:type="pct"/>
            <w:shd w:val="clear" w:color="auto" w:fill="auto"/>
            <w:tcMar>
              <w:top w:w="0" w:type="dxa"/>
              <w:left w:w="20" w:type="dxa"/>
              <w:bottom w:w="0" w:type="dxa"/>
              <w:right w:w="20" w:type="dxa"/>
            </w:tcMar>
            <w:vAlign w:val="center"/>
          </w:tcPr>
          <w:p w14:paraId="2445326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Billion VND</w:t>
            </w:r>
          </w:p>
        </w:tc>
        <w:tc>
          <w:tcPr>
            <w:tcW w:w="1190" w:type="pct"/>
            <w:shd w:val="clear" w:color="auto" w:fill="auto"/>
            <w:tcMar>
              <w:top w:w="0" w:type="dxa"/>
              <w:left w:w="20" w:type="dxa"/>
              <w:bottom w:w="0" w:type="dxa"/>
              <w:right w:w="20" w:type="dxa"/>
            </w:tcMar>
            <w:vAlign w:val="center"/>
          </w:tcPr>
          <w:p w14:paraId="0DAB4CE6"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w:t>
            </w:r>
          </w:p>
        </w:tc>
      </w:tr>
      <w:tr w:rsidR="00B11CC3" w:rsidRPr="002845C9" w14:paraId="224CEAD0" w14:textId="77777777" w:rsidTr="009D0C3E">
        <w:tc>
          <w:tcPr>
            <w:tcW w:w="366" w:type="pct"/>
            <w:shd w:val="clear" w:color="auto" w:fill="auto"/>
            <w:tcMar>
              <w:top w:w="0" w:type="dxa"/>
              <w:left w:w="20" w:type="dxa"/>
              <w:bottom w:w="0" w:type="dxa"/>
              <w:right w:w="20" w:type="dxa"/>
            </w:tcMar>
            <w:vAlign w:val="center"/>
          </w:tcPr>
          <w:p w14:paraId="60F3FDAC"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2</w:t>
            </w:r>
          </w:p>
        </w:tc>
        <w:tc>
          <w:tcPr>
            <w:tcW w:w="2474" w:type="pct"/>
            <w:shd w:val="clear" w:color="auto" w:fill="auto"/>
            <w:tcMar>
              <w:top w:w="0" w:type="dxa"/>
              <w:left w:w="20" w:type="dxa"/>
              <w:bottom w:w="0" w:type="dxa"/>
              <w:right w:w="20" w:type="dxa"/>
            </w:tcMar>
            <w:vAlign w:val="center"/>
          </w:tcPr>
          <w:p w14:paraId="0B57A42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Bonus fund (10%)</w:t>
            </w:r>
          </w:p>
        </w:tc>
        <w:tc>
          <w:tcPr>
            <w:tcW w:w="969" w:type="pct"/>
            <w:shd w:val="clear" w:color="auto" w:fill="auto"/>
            <w:tcMar>
              <w:top w:w="0" w:type="dxa"/>
              <w:left w:w="20" w:type="dxa"/>
              <w:bottom w:w="0" w:type="dxa"/>
              <w:right w:w="20" w:type="dxa"/>
            </w:tcMar>
            <w:vAlign w:val="center"/>
          </w:tcPr>
          <w:p w14:paraId="3C41188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Billion VND</w:t>
            </w:r>
          </w:p>
        </w:tc>
        <w:tc>
          <w:tcPr>
            <w:tcW w:w="1190" w:type="pct"/>
            <w:shd w:val="clear" w:color="auto" w:fill="auto"/>
            <w:tcMar>
              <w:top w:w="0" w:type="dxa"/>
              <w:left w:w="20" w:type="dxa"/>
              <w:bottom w:w="0" w:type="dxa"/>
              <w:right w:w="20" w:type="dxa"/>
            </w:tcMar>
            <w:vAlign w:val="center"/>
          </w:tcPr>
          <w:p w14:paraId="2856BAE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1.66</w:t>
            </w:r>
          </w:p>
        </w:tc>
      </w:tr>
      <w:tr w:rsidR="00B11CC3" w:rsidRPr="002845C9" w14:paraId="48BA8540" w14:textId="77777777" w:rsidTr="009D0C3E">
        <w:tc>
          <w:tcPr>
            <w:tcW w:w="366" w:type="pct"/>
            <w:shd w:val="clear" w:color="auto" w:fill="auto"/>
            <w:tcMar>
              <w:top w:w="0" w:type="dxa"/>
              <w:left w:w="20" w:type="dxa"/>
              <w:bottom w:w="0" w:type="dxa"/>
              <w:right w:w="20" w:type="dxa"/>
            </w:tcMar>
            <w:vAlign w:val="center"/>
          </w:tcPr>
          <w:p w14:paraId="7BD8FE8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IV</w:t>
            </w:r>
          </w:p>
        </w:tc>
        <w:tc>
          <w:tcPr>
            <w:tcW w:w="2474" w:type="pct"/>
            <w:shd w:val="clear" w:color="auto" w:fill="auto"/>
            <w:tcMar>
              <w:top w:w="0" w:type="dxa"/>
              <w:left w:w="20" w:type="dxa"/>
              <w:bottom w:w="0" w:type="dxa"/>
              <w:right w:w="20" w:type="dxa"/>
            </w:tcMar>
            <w:vAlign w:val="center"/>
          </w:tcPr>
          <w:p w14:paraId="4EAA9B5A"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Profit after tax to pay dividends</w:t>
            </w:r>
          </w:p>
        </w:tc>
        <w:tc>
          <w:tcPr>
            <w:tcW w:w="969" w:type="pct"/>
            <w:shd w:val="clear" w:color="auto" w:fill="auto"/>
            <w:tcMar>
              <w:top w:w="0" w:type="dxa"/>
              <w:left w:w="20" w:type="dxa"/>
              <w:bottom w:w="0" w:type="dxa"/>
              <w:right w:w="20" w:type="dxa"/>
            </w:tcMar>
            <w:vAlign w:val="center"/>
          </w:tcPr>
          <w:p w14:paraId="021698A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Billion VND</w:t>
            </w:r>
          </w:p>
        </w:tc>
        <w:tc>
          <w:tcPr>
            <w:tcW w:w="1190" w:type="pct"/>
            <w:shd w:val="clear" w:color="auto" w:fill="auto"/>
            <w:tcMar>
              <w:top w:w="0" w:type="dxa"/>
              <w:left w:w="20" w:type="dxa"/>
              <w:bottom w:w="0" w:type="dxa"/>
              <w:right w:w="20" w:type="dxa"/>
            </w:tcMar>
            <w:vAlign w:val="center"/>
          </w:tcPr>
          <w:p w14:paraId="37EAE0B0"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13.29</w:t>
            </w:r>
          </w:p>
        </w:tc>
      </w:tr>
      <w:tr w:rsidR="00B11CC3" w:rsidRPr="002845C9" w14:paraId="3CBB2027" w14:textId="77777777" w:rsidTr="009D0C3E">
        <w:tc>
          <w:tcPr>
            <w:tcW w:w="366" w:type="pct"/>
            <w:shd w:val="clear" w:color="auto" w:fill="auto"/>
            <w:tcMar>
              <w:top w:w="0" w:type="dxa"/>
              <w:left w:w="20" w:type="dxa"/>
              <w:bottom w:w="0" w:type="dxa"/>
              <w:right w:w="20" w:type="dxa"/>
            </w:tcMar>
            <w:vAlign w:val="center"/>
          </w:tcPr>
          <w:p w14:paraId="3696B367"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V</w:t>
            </w:r>
          </w:p>
        </w:tc>
        <w:tc>
          <w:tcPr>
            <w:tcW w:w="2474" w:type="pct"/>
            <w:shd w:val="clear" w:color="auto" w:fill="auto"/>
            <w:tcMar>
              <w:top w:w="0" w:type="dxa"/>
              <w:left w:w="20" w:type="dxa"/>
              <w:bottom w:w="0" w:type="dxa"/>
              <w:right w:w="20" w:type="dxa"/>
            </w:tcMar>
            <w:vAlign w:val="center"/>
          </w:tcPr>
          <w:p w14:paraId="4E6D5760"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Dividend payment rate per share</w:t>
            </w:r>
          </w:p>
        </w:tc>
        <w:tc>
          <w:tcPr>
            <w:tcW w:w="969" w:type="pct"/>
            <w:shd w:val="clear" w:color="auto" w:fill="auto"/>
            <w:tcMar>
              <w:top w:w="0" w:type="dxa"/>
              <w:left w:w="20" w:type="dxa"/>
              <w:bottom w:w="0" w:type="dxa"/>
              <w:right w:w="20" w:type="dxa"/>
            </w:tcMar>
            <w:vAlign w:val="center"/>
          </w:tcPr>
          <w:p w14:paraId="53BDD95D"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w:t>
            </w:r>
          </w:p>
        </w:tc>
        <w:tc>
          <w:tcPr>
            <w:tcW w:w="1190" w:type="pct"/>
            <w:shd w:val="clear" w:color="auto" w:fill="auto"/>
            <w:tcMar>
              <w:top w:w="0" w:type="dxa"/>
              <w:left w:w="20" w:type="dxa"/>
              <w:bottom w:w="0" w:type="dxa"/>
              <w:right w:w="20" w:type="dxa"/>
            </w:tcMar>
            <w:vAlign w:val="center"/>
          </w:tcPr>
          <w:p w14:paraId="3548964F" w14:textId="77777777" w:rsidR="00B11CC3" w:rsidRPr="002845C9" w:rsidRDefault="00377A6B" w:rsidP="009D0C3E">
            <w:pP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8.9%</w:t>
            </w:r>
          </w:p>
        </w:tc>
      </w:tr>
    </w:tbl>
    <w:p w14:paraId="71CD4EA2" w14:textId="05AB78E4"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5. Approve the salary/remuneration of the Board of Directors and Supervisory Board for</w:t>
      </w:r>
      <w:r w:rsidR="009D0C3E" w:rsidRPr="002845C9">
        <w:rPr>
          <w:rFonts w:ascii="Arial" w:hAnsi="Arial" w:cs="Arial"/>
          <w:color w:val="010000"/>
          <w:sz w:val="20"/>
        </w:rPr>
        <w:t xml:space="preserve"> </w:t>
      </w:r>
      <w:r w:rsidRPr="002845C9">
        <w:rPr>
          <w:rFonts w:ascii="Arial" w:hAnsi="Arial" w:cs="Arial"/>
          <w:color w:val="010000"/>
          <w:sz w:val="20"/>
        </w:rPr>
        <w:t>2023, expected salary/remuneration of the Board of Directors and Supervisory Board in 2024.</w:t>
      </w:r>
    </w:p>
    <w:p w14:paraId="6C4E8E37"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6. Approve the List of audit companies for the Financial Statements 2024.</w:t>
      </w:r>
    </w:p>
    <w:p w14:paraId="1CB2CD71" w14:textId="04EC5F26"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w:t>
      </w:r>
      <w:r w:rsidR="002845C9" w:rsidRPr="002845C9">
        <w:rPr>
          <w:rFonts w:ascii="Arial" w:hAnsi="Arial" w:cs="Arial"/>
          <w:color w:val="010000"/>
          <w:sz w:val="20"/>
        </w:rPr>
        <w:t xml:space="preserve"> </w:t>
      </w:r>
      <w:r w:rsidRPr="002845C9">
        <w:rPr>
          <w:rFonts w:ascii="Arial" w:hAnsi="Arial" w:cs="Arial"/>
          <w:color w:val="010000"/>
          <w:sz w:val="20"/>
        </w:rPr>
        <w:t>7. Approve the Proposal on supplementing business lines in the Business Registration Certificate.</w:t>
      </w:r>
    </w:p>
    <w:p w14:paraId="12802C77"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8. Approve the Proposal on approval of transactions between the Company and affiliated persons.</w:t>
      </w:r>
    </w:p>
    <w:p w14:paraId="5A367E7C"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9. Approve the election results of Board of Directors members including:</w:t>
      </w:r>
    </w:p>
    <w:p w14:paraId="779F5028"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Mr. Bui Duy </w:t>
      </w:r>
      <w:proofErr w:type="spellStart"/>
      <w:r w:rsidRPr="002845C9">
        <w:rPr>
          <w:rFonts w:ascii="Arial" w:hAnsi="Arial" w:cs="Arial"/>
          <w:color w:val="010000"/>
          <w:sz w:val="20"/>
        </w:rPr>
        <w:t>Nhi</w:t>
      </w:r>
      <w:proofErr w:type="spellEnd"/>
      <w:r w:rsidRPr="002845C9">
        <w:rPr>
          <w:rFonts w:ascii="Arial" w:hAnsi="Arial" w:cs="Arial"/>
          <w:color w:val="010000"/>
          <w:sz w:val="20"/>
        </w:rPr>
        <w:t xml:space="preserve"> - Member of the Board of Directors</w:t>
      </w:r>
    </w:p>
    <w:p w14:paraId="35D30B10"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Mr. Vu Anh Tuan - Member of the Board of Directors.</w:t>
      </w:r>
    </w:p>
    <w:p w14:paraId="7C5C3A74"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Article 10. The General Meeting of Shareholders authorizes the Chair of the Board of Directors to sign and promulgate Resolutions and Decisions to implement the General Mandate on the contents approved by the General Meeting.</w:t>
      </w:r>
    </w:p>
    <w:p w14:paraId="793B6594"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Article 11. The Board of Directors of </w:t>
      </w:r>
      <w:proofErr w:type="spellStart"/>
      <w:r w:rsidRPr="002845C9">
        <w:rPr>
          <w:rFonts w:ascii="Arial" w:hAnsi="Arial" w:cs="Arial"/>
          <w:color w:val="010000"/>
          <w:sz w:val="20"/>
        </w:rPr>
        <w:t>Petrovietnam</w:t>
      </w:r>
      <w:proofErr w:type="spellEnd"/>
      <w:r w:rsidRPr="002845C9">
        <w:rPr>
          <w:rFonts w:ascii="Arial" w:hAnsi="Arial" w:cs="Arial"/>
          <w:color w:val="010000"/>
          <w:sz w:val="20"/>
        </w:rPr>
        <w:t xml:space="preserve"> Power Services JSC is responsible for directing the Company's Board of Managers to develop a detailed plan to implement this General Mandate in </w:t>
      </w:r>
      <w:r w:rsidRPr="002845C9">
        <w:rPr>
          <w:rFonts w:ascii="Arial" w:hAnsi="Arial" w:cs="Arial"/>
          <w:color w:val="010000"/>
          <w:sz w:val="20"/>
        </w:rPr>
        <w:lastRenderedPageBreak/>
        <w:t>compliance with the Company's Charter and the current law.</w:t>
      </w:r>
    </w:p>
    <w:p w14:paraId="76B4DF44" w14:textId="77777777" w:rsidR="00B11CC3" w:rsidRPr="002845C9" w:rsidRDefault="00377A6B" w:rsidP="00F31E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845C9">
        <w:rPr>
          <w:rFonts w:ascii="Arial" w:hAnsi="Arial" w:cs="Arial"/>
          <w:color w:val="010000"/>
          <w:sz w:val="20"/>
        </w:rPr>
        <w:t xml:space="preserve">Article 12. The Board of Directors, the Supervisory Board, the Board of Managers, and Shareholders of </w:t>
      </w:r>
      <w:proofErr w:type="spellStart"/>
      <w:r w:rsidRPr="002845C9">
        <w:rPr>
          <w:rFonts w:ascii="Arial" w:hAnsi="Arial" w:cs="Arial"/>
          <w:color w:val="010000"/>
          <w:sz w:val="20"/>
        </w:rPr>
        <w:t>Petrovietnam</w:t>
      </w:r>
      <w:proofErr w:type="spellEnd"/>
      <w:r w:rsidRPr="002845C9">
        <w:rPr>
          <w:rFonts w:ascii="Arial" w:hAnsi="Arial" w:cs="Arial"/>
          <w:color w:val="010000"/>
          <w:sz w:val="20"/>
        </w:rPr>
        <w:t xml:space="preserve"> Power Services JSC are respon</w:t>
      </w:r>
      <w:bookmarkStart w:id="0" w:name="_GoBack"/>
      <w:bookmarkEnd w:id="0"/>
      <w:r w:rsidRPr="002845C9">
        <w:rPr>
          <w:rFonts w:ascii="Arial" w:hAnsi="Arial" w:cs="Arial"/>
          <w:color w:val="010000"/>
          <w:sz w:val="20"/>
        </w:rPr>
        <w:t>sible for implementing this General Mandate.</w:t>
      </w:r>
    </w:p>
    <w:sectPr w:rsidR="00B11CC3" w:rsidRPr="002845C9" w:rsidSect="009D0C3E">
      <w:footerReference w:type="default" r:id="rId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327A" w14:textId="77777777" w:rsidR="00936EAE" w:rsidRDefault="00936EAE">
      <w:r>
        <w:separator/>
      </w:r>
    </w:p>
  </w:endnote>
  <w:endnote w:type="continuationSeparator" w:id="0">
    <w:p w14:paraId="1BFD6F78" w14:textId="77777777" w:rsidR="00936EAE" w:rsidRDefault="0093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5E9D" w14:textId="77777777" w:rsidR="00B11CC3" w:rsidRDefault="00377A6B">
    <w:pPr>
      <w:spacing w:line="14" w:lineRule="auto"/>
    </w:pPr>
    <w:r>
      <w:rPr>
        <w:noProof/>
        <w:lang w:eastAsia="en-US"/>
      </w:rPr>
      <mc:AlternateContent>
        <mc:Choice Requires="wps">
          <w:drawing>
            <wp:anchor distT="0" distB="0" distL="0" distR="0" simplePos="0" relativeHeight="251658240" behindDoc="1" locked="0" layoutInCell="1" hidden="0" allowOverlap="1" wp14:anchorId="711DEA1C" wp14:editId="23AB14FB">
              <wp:simplePos x="0" y="0"/>
              <wp:positionH relativeFrom="column">
                <wp:posOffset>3136900</wp:posOffset>
              </wp:positionH>
              <wp:positionV relativeFrom="paragraph">
                <wp:posOffset>10185400</wp:posOffset>
              </wp:positionV>
              <wp:extent cx="52070" cy="128270"/>
              <wp:effectExtent l="0" t="0" r="0" b="0"/>
              <wp:wrapNone/>
              <wp:docPr id="2" name="Rectangle 2"/>
              <wp:cNvGraphicFramePr/>
              <a:graphic xmlns:a="http://schemas.openxmlformats.org/drawingml/2006/main">
                <a:graphicData uri="http://schemas.microsoft.com/office/word/2010/wordprocessingShape">
                  <wps:wsp>
                    <wps:cNvSpPr/>
                    <wps:spPr>
                      <a:xfrm>
                        <a:off x="5324728" y="3720628"/>
                        <a:ext cx="42545" cy="118745"/>
                      </a:xfrm>
                      <a:prstGeom prst="rect">
                        <a:avLst/>
                      </a:prstGeom>
                      <a:noFill/>
                      <a:ln>
                        <a:noFill/>
                      </a:ln>
                    </wps:spPr>
                    <wps:txbx>
                      <w:txbxContent>
                        <w:p w14:paraId="7550AEBB" w14:textId="77777777" w:rsidR="00B11CC3" w:rsidRDefault="00377A6B">
                          <w:pPr>
                            <w:textDirection w:val="btLr"/>
                          </w:pPr>
                          <w:r>
                            <w:rPr>
                              <w:rFonts w:ascii="Times New Roman" w:hAnsi="Times New Roman"/>
                              <w:sz w:val="20"/>
                            </w:rPr>
                            <w:t xml:space="preserve"> </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DEA1C" id="Rectangle 2" o:spid="_x0000_s1026" style="position:absolute;margin-left:247pt;margin-top:802pt;width:4.1pt;height:10.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" filled="f" stroked="f">
              <v:textbox inset="0,0,0,0">
                <w:txbxContent>
                  <w:p w14:paraId="7550AEBB" w14:textId="77777777" w:rsidR="00B11CC3" w:rsidRDefault="00377A6B">
                    <w:pPr>
                      <w:textDirection w:val="btLr"/>
                    </w:pPr>
                    <w:r>
                      <w:rPr>
                        <w:rFonts w:ascii="Times New Roman" w:hAnsi="Times New Roman"/>
                        <w:sz w:val="20"/>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060F" w14:textId="77777777" w:rsidR="00936EAE" w:rsidRDefault="00936EAE">
      <w:r>
        <w:separator/>
      </w:r>
    </w:p>
  </w:footnote>
  <w:footnote w:type="continuationSeparator" w:id="0">
    <w:p w14:paraId="276C3201" w14:textId="77777777" w:rsidR="00936EAE" w:rsidRDefault="00936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6554"/>
    <w:multiLevelType w:val="multilevel"/>
    <w:tmpl w:val="991AEDEE"/>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1217D"/>
    <w:multiLevelType w:val="multilevel"/>
    <w:tmpl w:val="35566CD4"/>
    <w:lvl w:ilvl="0">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D17E08"/>
    <w:multiLevelType w:val="multilevel"/>
    <w:tmpl w:val="92D6B0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B7A41EA"/>
    <w:multiLevelType w:val="multilevel"/>
    <w:tmpl w:val="ED26670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C3"/>
    <w:rsid w:val="002845C9"/>
    <w:rsid w:val="00377A6B"/>
    <w:rsid w:val="00936EAE"/>
    <w:rsid w:val="009D0C3E"/>
    <w:rsid w:val="00B11CC3"/>
    <w:rsid w:val="00F31E0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43DC"/>
  <w15:docId w15:val="{EA3BC66E-8E8C-49A8-94D0-4E2F1F7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2"/>
      <w:szCs w:val="5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shd w:val="clear" w:color="auto" w:fill="auto"/>
    </w:rPr>
  </w:style>
  <w:style w:type="paragraph" w:customStyle="1" w:styleId="Heading11">
    <w:name w:val="Heading #1"/>
    <w:basedOn w:val="Normal"/>
    <w:link w:val="Heading10"/>
    <w:pPr>
      <w:outlineLvl w:val="0"/>
    </w:pPr>
    <w:rPr>
      <w:rFonts w:ascii="Arial" w:eastAsia="Arial" w:hAnsi="Arial" w:cs="Arial"/>
      <w:sz w:val="52"/>
      <w:szCs w:val="52"/>
    </w:rPr>
  </w:style>
  <w:style w:type="paragraph" w:customStyle="1" w:styleId="Bodytext20">
    <w:name w:val="Body text (2)"/>
    <w:basedOn w:val="Normal"/>
    <w:link w:val="Bodytext2"/>
    <w:pPr>
      <w:spacing w:line="218" w:lineRule="auto"/>
      <w:ind w:left="2000" w:firstLine="20"/>
    </w:pPr>
    <w:rPr>
      <w:rFonts w:ascii="Arial" w:eastAsia="Arial" w:hAnsi="Arial" w:cs="Arial"/>
      <w:sz w:val="11"/>
      <w:szCs w:val="11"/>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BodyText">
    <w:name w:val="Body Text"/>
    <w:basedOn w:val="Normal"/>
    <w:link w:val="BodyTextChar"/>
    <w:qFormat/>
    <w:pPr>
      <w:spacing w:after="120" w:line="276" w:lineRule="auto"/>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Other0">
    <w:name w:val="Other"/>
    <w:basedOn w:val="Normal"/>
    <w:link w:val="Other"/>
    <w:pPr>
      <w:spacing w:after="120" w:line="276"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pacing w:line="286" w:lineRule="auto"/>
      <w:jc w:val="center"/>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Ng1lMND0XS4q069RTkB9MdLSg==">CgMxLjA4AHIhMWJES0t5QzlPQTg1dEFWNmFNR1ZUX1BPbVc3QWlCUnhK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2024-04-17T04:00:00Z</dcterms:created>
  <dcterms:modified xsi:type="dcterms:W3CDTF">2024-04-22T03:33:00Z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78ca4c47af095d9e397bd0fe1866c3072fa2e3cc300a093e46610f28dabc96d3</vt:lpwstr>
  </property>
</Properties>
</file>