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D24B"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b/>
          <w:color w:val="010000"/>
          <w:sz w:val="20"/>
          <w:szCs w:val="20"/>
        </w:rPr>
      </w:pPr>
      <w:r w:rsidRPr="00862F35">
        <w:rPr>
          <w:rFonts w:ascii="Arial" w:hAnsi="Arial" w:cs="Arial"/>
          <w:b/>
          <w:color w:val="010000"/>
          <w:sz w:val="20"/>
        </w:rPr>
        <w:t>STC: Annual General Mandate 2024</w:t>
      </w:r>
    </w:p>
    <w:p w14:paraId="040651BB" w14:textId="5FF85124" w:rsidR="006D22B4" w:rsidRPr="00862F35" w:rsidRDefault="00862F35" w:rsidP="000E58E3">
      <w:pPr>
        <w:pBdr>
          <w:top w:val="nil"/>
          <w:left w:val="nil"/>
          <w:bottom w:val="nil"/>
          <w:right w:val="nil"/>
          <w:between w:val="nil"/>
        </w:pBdr>
        <w:spacing w:after="120" w:line="360" w:lineRule="auto"/>
        <w:jc w:val="both"/>
        <w:rPr>
          <w:rFonts w:ascii="Arial" w:eastAsia="Arial" w:hAnsi="Arial" w:cs="Arial"/>
          <w:color w:val="010000"/>
          <w:sz w:val="20"/>
          <w:szCs w:val="20"/>
        </w:rPr>
      </w:pPr>
      <w:r w:rsidRPr="00862F35">
        <w:rPr>
          <w:rFonts w:ascii="Arial" w:hAnsi="Arial" w:cs="Arial"/>
          <w:color w:val="010000"/>
          <w:sz w:val="20"/>
        </w:rPr>
        <w:t xml:space="preserve">On April 11, 2024, Book and Educational Equipment JSC in Ho Chi Minh City announced General Mandate No. 01/NQ-DHDCD as follows: </w:t>
      </w:r>
    </w:p>
    <w:p w14:paraId="017A152E" w14:textId="77777777" w:rsidR="006D22B4" w:rsidRPr="00862F35" w:rsidRDefault="00862F35" w:rsidP="000E58E3">
      <w:pPr>
        <w:pBdr>
          <w:top w:val="nil"/>
          <w:left w:val="nil"/>
          <w:bottom w:val="nil"/>
          <w:right w:val="nil"/>
          <w:between w:val="nil"/>
        </w:pBdr>
        <w:spacing w:after="120" w:line="360" w:lineRule="auto"/>
        <w:jc w:val="both"/>
        <w:rPr>
          <w:rFonts w:ascii="Arial" w:eastAsia="Arial" w:hAnsi="Arial" w:cs="Arial"/>
          <w:color w:val="010000"/>
          <w:sz w:val="20"/>
          <w:szCs w:val="20"/>
        </w:rPr>
      </w:pPr>
      <w:r w:rsidRPr="00862F35">
        <w:rPr>
          <w:rFonts w:ascii="Arial" w:hAnsi="Arial" w:cs="Arial"/>
          <w:color w:val="010000"/>
          <w:sz w:val="20"/>
        </w:rPr>
        <w:t>Article 1: Approve the Report on activities of the Board of Directors in 2023 and operating orientation for 2024.</w:t>
      </w:r>
    </w:p>
    <w:p w14:paraId="438B3990" w14:textId="77777777" w:rsidR="006D22B4" w:rsidRPr="00862F35" w:rsidRDefault="00862F35" w:rsidP="000E58E3">
      <w:pPr>
        <w:pBdr>
          <w:top w:val="nil"/>
          <w:left w:val="nil"/>
          <w:bottom w:val="nil"/>
          <w:right w:val="nil"/>
          <w:between w:val="nil"/>
        </w:pBdr>
        <w:spacing w:after="120" w:line="360" w:lineRule="auto"/>
        <w:jc w:val="both"/>
        <w:rPr>
          <w:rFonts w:ascii="Arial" w:eastAsia="Arial" w:hAnsi="Arial" w:cs="Arial"/>
          <w:color w:val="010000"/>
          <w:sz w:val="20"/>
          <w:szCs w:val="20"/>
        </w:rPr>
      </w:pPr>
      <w:r w:rsidRPr="00862F35">
        <w:rPr>
          <w:rFonts w:ascii="Arial" w:hAnsi="Arial" w:cs="Arial"/>
          <w:color w:val="010000"/>
          <w:sz w:val="20"/>
        </w:rPr>
        <w:t>Article 2: Approve the Report on activities of the Supervisory Board in 2023 and operating orientation for 2024.</w:t>
      </w:r>
    </w:p>
    <w:p w14:paraId="4F2C1777" w14:textId="77777777" w:rsidR="006D22B4" w:rsidRPr="00862F35" w:rsidRDefault="00862F35" w:rsidP="000E58E3">
      <w:pPr>
        <w:pBdr>
          <w:top w:val="nil"/>
          <w:left w:val="nil"/>
          <w:bottom w:val="nil"/>
          <w:right w:val="nil"/>
          <w:between w:val="nil"/>
        </w:pBdr>
        <w:spacing w:after="120" w:line="360" w:lineRule="auto"/>
        <w:jc w:val="both"/>
        <w:rPr>
          <w:rFonts w:ascii="Arial" w:eastAsia="Arial" w:hAnsi="Arial" w:cs="Arial"/>
          <w:color w:val="010000"/>
          <w:sz w:val="20"/>
          <w:szCs w:val="20"/>
        </w:rPr>
      </w:pPr>
      <w:r w:rsidRPr="00862F35">
        <w:rPr>
          <w:rFonts w:ascii="Arial" w:hAnsi="Arial" w:cs="Arial"/>
          <w:color w:val="010000"/>
          <w:sz w:val="20"/>
        </w:rPr>
        <w:t>Article 3: Approve the Report of the Board of Management in 2023 and operating direction in 2024</w:t>
      </w:r>
    </w:p>
    <w:p w14:paraId="698D007A" w14:textId="31672629" w:rsidR="006D22B4" w:rsidRPr="00862F35" w:rsidRDefault="00862F35" w:rsidP="000E58E3">
      <w:pPr>
        <w:pBdr>
          <w:top w:val="nil"/>
          <w:left w:val="nil"/>
          <w:bottom w:val="nil"/>
          <w:right w:val="nil"/>
          <w:between w:val="nil"/>
        </w:pBdr>
        <w:spacing w:after="120" w:line="360" w:lineRule="auto"/>
        <w:jc w:val="both"/>
        <w:rPr>
          <w:rFonts w:ascii="Arial" w:eastAsia="Arial" w:hAnsi="Arial" w:cs="Arial"/>
          <w:color w:val="010000"/>
          <w:sz w:val="20"/>
          <w:szCs w:val="20"/>
        </w:rPr>
      </w:pPr>
      <w:r w:rsidRPr="00862F35">
        <w:rPr>
          <w:rFonts w:ascii="Arial" w:hAnsi="Arial" w:cs="Arial"/>
          <w:color w:val="010000"/>
          <w:sz w:val="20"/>
        </w:rPr>
        <w:t>Article 4. Approve the Proposal on the audited consolidated and separate Financial Statements 2023</w:t>
      </w:r>
    </w:p>
    <w:p w14:paraId="615836C3" w14:textId="77777777" w:rsidR="006D22B4" w:rsidRPr="00862F35" w:rsidRDefault="00862F35" w:rsidP="000E58E3">
      <w:pPr>
        <w:pBdr>
          <w:top w:val="nil"/>
          <w:left w:val="nil"/>
          <w:bottom w:val="nil"/>
          <w:right w:val="nil"/>
          <w:between w:val="nil"/>
        </w:pBdr>
        <w:spacing w:after="120" w:line="360" w:lineRule="auto"/>
        <w:jc w:val="both"/>
        <w:rPr>
          <w:rFonts w:ascii="Arial" w:eastAsia="Arial" w:hAnsi="Arial" w:cs="Arial"/>
          <w:color w:val="010000"/>
          <w:sz w:val="20"/>
          <w:szCs w:val="20"/>
        </w:rPr>
      </w:pPr>
      <w:r w:rsidRPr="00862F35">
        <w:rPr>
          <w:rFonts w:ascii="Arial" w:hAnsi="Arial" w:cs="Arial"/>
          <w:color w:val="010000"/>
          <w:sz w:val="20"/>
        </w:rPr>
        <w:t>Article 5: Approve the Proposal on the production, business and profit distribution results in 2023</w:t>
      </w:r>
    </w:p>
    <w:p w14:paraId="147A6400" w14:textId="3DB54D6A" w:rsidR="006D22B4" w:rsidRPr="00862F35" w:rsidRDefault="00862F35" w:rsidP="000E58E3">
      <w:pPr>
        <w:pBdr>
          <w:top w:val="nil"/>
          <w:left w:val="nil"/>
          <w:bottom w:val="nil"/>
          <w:right w:val="nil"/>
          <w:between w:val="nil"/>
        </w:pBdr>
        <w:spacing w:after="120" w:line="360" w:lineRule="auto"/>
        <w:jc w:val="both"/>
        <w:rPr>
          <w:rFonts w:ascii="Arial" w:eastAsia="Arial" w:hAnsi="Arial" w:cs="Arial"/>
          <w:color w:val="010000"/>
          <w:sz w:val="20"/>
          <w:szCs w:val="20"/>
        </w:rPr>
      </w:pPr>
      <w:r w:rsidRPr="00862F35">
        <w:rPr>
          <w:rFonts w:ascii="Arial" w:hAnsi="Arial" w:cs="Arial"/>
          <w:color w:val="010000"/>
          <w:sz w:val="20"/>
        </w:rPr>
        <w:t>The Board of Directors respectfully submits to the General Meeting of Shareholders to consider and approve the business results in 2023, fund appropriation and dividend payment plans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9"/>
        <w:gridCol w:w="4254"/>
        <w:gridCol w:w="784"/>
        <w:gridCol w:w="3470"/>
      </w:tblGrid>
      <w:tr w:rsidR="006D22B4" w:rsidRPr="00862F35" w14:paraId="500C639F" w14:textId="77777777" w:rsidTr="00862F35">
        <w:tc>
          <w:tcPr>
            <w:tcW w:w="282" w:type="pct"/>
            <w:shd w:val="clear" w:color="auto" w:fill="auto"/>
            <w:tcMar>
              <w:top w:w="0" w:type="dxa"/>
              <w:bottom w:w="0" w:type="dxa"/>
            </w:tcMar>
            <w:vAlign w:val="center"/>
          </w:tcPr>
          <w:p w14:paraId="365B162A" w14:textId="77777777" w:rsidR="006D22B4" w:rsidRPr="00862F35" w:rsidRDefault="00862F35" w:rsidP="00862F35">
            <w:pPr>
              <w:spacing w:after="120" w:line="360" w:lineRule="auto"/>
              <w:rPr>
                <w:rFonts w:ascii="Arial" w:hAnsi="Arial" w:cs="Arial"/>
                <w:color w:val="010000"/>
                <w:sz w:val="20"/>
              </w:rPr>
            </w:pPr>
            <w:r w:rsidRPr="00862F35">
              <w:rPr>
                <w:rFonts w:ascii="Arial" w:hAnsi="Arial" w:cs="Arial"/>
                <w:color w:val="010000"/>
                <w:sz w:val="20"/>
              </w:rPr>
              <w:t>No.</w:t>
            </w:r>
          </w:p>
        </w:tc>
        <w:tc>
          <w:tcPr>
            <w:tcW w:w="2359" w:type="pct"/>
            <w:shd w:val="clear" w:color="auto" w:fill="auto"/>
            <w:tcMar>
              <w:top w:w="0" w:type="dxa"/>
              <w:bottom w:w="0" w:type="dxa"/>
            </w:tcMar>
            <w:vAlign w:val="center"/>
          </w:tcPr>
          <w:p w14:paraId="5F6E0BA5" w14:textId="77777777" w:rsidR="006D22B4" w:rsidRPr="00862F35" w:rsidRDefault="00862F35" w:rsidP="00862F35">
            <w:pPr>
              <w:spacing w:after="120" w:line="360" w:lineRule="auto"/>
              <w:rPr>
                <w:rFonts w:ascii="Arial" w:hAnsi="Arial" w:cs="Arial"/>
                <w:color w:val="010000"/>
                <w:sz w:val="20"/>
              </w:rPr>
            </w:pPr>
            <w:r w:rsidRPr="00862F35">
              <w:rPr>
                <w:rFonts w:ascii="Arial" w:hAnsi="Arial" w:cs="Arial"/>
                <w:color w:val="010000"/>
                <w:sz w:val="20"/>
              </w:rPr>
              <w:t>Target</w:t>
            </w:r>
          </w:p>
        </w:tc>
        <w:tc>
          <w:tcPr>
            <w:tcW w:w="435" w:type="pct"/>
            <w:shd w:val="clear" w:color="auto" w:fill="auto"/>
            <w:tcMar>
              <w:top w:w="0" w:type="dxa"/>
              <w:bottom w:w="0" w:type="dxa"/>
            </w:tcMar>
            <w:vAlign w:val="center"/>
          </w:tcPr>
          <w:p w14:paraId="1BC1903C" w14:textId="77777777" w:rsidR="006D22B4" w:rsidRPr="00862F35" w:rsidRDefault="00862F35" w:rsidP="00862F35">
            <w:pPr>
              <w:spacing w:after="120" w:line="360" w:lineRule="auto"/>
              <w:rPr>
                <w:rFonts w:ascii="Arial" w:hAnsi="Arial" w:cs="Arial"/>
                <w:color w:val="010000"/>
                <w:sz w:val="20"/>
              </w:rPr>
            </w:pPr>
            <w:r w:rsidRPr="00862F35">
              <w:rPr>
                <w:rFonts w:ascii="Arial" w:hAnsi="Arial" w:cs="Arial"/>
                <w:color w:val="010000"/>
                <w:sz w:val="20"/>
              </w:rPr>
              <w:t>Unit</w:t>
            </w:r>
          </w:p>
        </w:tc>
        <w:tc>
          <w:tcPr>
            <w:tcW w:w="1924" w:type="pct"/>
            <w:shd w:val="clear" w:color="auto" w:fill="auto"/>
            <w:tcMar>
              <w:top w:w="0" w:type="dxa"/>
              <w:bottom w:w="0" w:type="dxa"/>
            </w:tcMar>
            <w:vAlign w:val="center"/>
          </w:tcPr>
          <w:p w14:paraId="6BC718B9" w14:textId="77777777" w:rsidR="006D22B4" w:rsidRPr="00862F35" w:rsidRDefault="00862F35" w:rsidP="00862F35">
            <w:pPr>
              <w:spacing w:after="120" w:line="360" w:lineRule="auto"/>
              <w:rPr>
                <w:rFonts w:ascii="Arial" w:hAnsi="Arial" w:cs="Arial"/>
                <w:color w:val="010000"/>
                <w:sz w:val="20"/>
              </w:rPr>
            </w:pPr>
            <w:r w:rsidRPr="00862F35">
              <w:rPr>
                <w:rFonts w:ascii="Arial" w:hAnsi="Arial" w:cs="Arial"/>
                <w:color w:val="010000"/>
                <w:sz w:val="20"/>
              </w:rPr>
              <w:t>Amount</w:t>
            </w:r>
          </w:p>
        </w:tc>
      </w:tr>
      <w:tr w:rsidR="006D22B4" w:rsidRPr="00862F35" w14:paraId="57A8CFCB" w14:textId="77777777" w:rsidTr="00862F35">
        <w:tc>
          <w:tcPr>
            <w:tcW w:w="282" w:type="pct"/>
            <w:shd w:val="clear" w:color="auto" w:fill="auto"/>
            <w:tcMar>
              <w:top w:w="0" w:type="dxa"/>
              <w:bottom w:w="0" w:type="dxa"/>
            </w:tcMar>
            <w:vAlign w:val="center"/>
          </w:tcPr>
          <w:p w14:paraId="0656B2B1"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w:t>
            </w:r>
          </w:p>
        </w:tc>
        <w:tc>
          <w:tcPr>
            <w:tcW w:w="2359" w:type="pct"/>
            <w:shd w:val="clear" w:color="auto" w:fill="auto"/>
            <w:tcMar>
              <w:top w:w="0" w:type="dxa"/>
              <w:bottom w:w="0" w:type="dxa"/>
            </w:tcMar>
            <w:vAlign w:val="center"/>
          </w:tcPr>
          <w:p w14:paraId="4711E14E"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Net revenue</w:t>
            </w:r>
          </w:p>
        </w:tc>
        <w:tc>
          <w:tcPr>
            <w:tcW w:w="435" w:type="pct"/>
            <w:shd w:val="clear" w:color="auto" w:fill="auto"/>
            <w:tcMar>
              <w:top w:w="0" w:type="dxa"/>
              <w:bottom w:w="0" w:type="dxa"/>
            </w:tcMar>
            <w:vAlign w:val="center"/>
          </w:tcPr>
          <w:p w14:paraId="13FD3F3C"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VND</w:t>
            </w:r>
          </w:p>
        </w:tc>
        <w:tc>
          <w:tcPr>
            <w:tcW w:w="1924" w:type="pct"/>
            <w:shd w:val="clear" w:color="auto" w:fill="auto"/>
            <w:tcMar>
              <w:top w:w="0" w:type="dxa"/>
              <w:bottom w:w="0" w:type="dxa"/>
            </w:tcMar>
            <w:vAlign w:val="center"/>
          </w:tcPr>
          <w:p w14:paraId="756FA8BA"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477,771,021,257</w:t>
            </w:r>
          </w:p>
        </w:tc>
      </w:tr>
      <w:tr w:rsidR="006D22B4" w:rsidRPr="00862F35" w14:paraId="67C39CEA" w14:textId="77777777" w:rsidTr="00862F35">
        <w:tc>
          <w:tcPr>
            <w:tcW w:w="282" w:type="pct"/>
            <w:shd w:val="clear" w:color="auto" w:fill="auto"/>
            <w:tcMar>
              <w:top w:w="0" w:type="dxa"/>
              <w:bottom w:w="0" w:type="dxa"/>
            </w:tcMar>
            <w:vAlign w:val="center"/>
          </w:tcPr>
          <w:p w14:paraId="02389211"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2</w:t>
            </w:r>
          </w:p>
        </w:tc>
        <w:tc>
          <w:tcPr>
            <w:tcW w:w="2359" w:type="pct"/>
            <w:shd w:val="clear" w:color="auto" w:fill="auto"/>
            <w:tcMar>
              <w:top w:w="0" w:type="dxa"/>
              <w:bottom w:w="0" w:type="dxa"/>
            </w:tcMar>
            <w:vAlign w:val="center"/>
          </w:tcPr>
          <w:p w14:paraId="4F483831"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Total revenue and income</w:t>
            </w:r>
          </w:p>
        </w:tc>
        <w:tc>
          <w:tcPr>
            <w:tcW w:w="435" w:type="pct"/>
            <w:shd w:val="clear" w:color="auto" w:fill="auto"/>
            <w:tcMar>
              <w:top w:w="0" w:type="dxa"/>
              <w:bottom w:w="0" w:type="dxa"/>
            </w:tcMar>
            <w:vAlign w:val="center"/>
          </w:tcPr>
          <w:p w14:paraId="20A09B7A"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VND</w:t>
            </w:r>
          </w:p>
        </w:tc>
        <w:tc>
          <w:tcPr>
            <w:tcW w:w="1924" w:type="pct"/>
            <w:shd w:val="clear" w:color="auto" w:fill="auto"/>
            <w:tcMar>
              <w:top w:w="0" w:type="dxa"/>
              <w:bottom w:w="0" w:type="dxa"/>
            </w:tcMar>
            <w:vAlign w:val="center"/>
          </w:tcPr>
          <w:p w14:paraId="4C796279"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480,585,893,886</w:t>
            </w:r>
          </w:p>
        </w:tc>
      </w:tr>
      <w:tr w:rsidR="006D22B4" w:rsidRPr="00862F35" w14:paraId="0A0A46FB" w14:textId="77777777" w:rsidTr="00862F35">
        <w:tc>
          <w:tcPr>
            <w:tcW w:w="282" w:type="pct"/>
            <w:shd w:val="clear" w:color="auto" w:fill="auto"/>
            <w:tcMar>
              <w:top w:w="0" w:type="dxa"/>
              <w:bottom w:w="0" w:type="dxa"/>
            </w:tcMar>
            <w:vAlign w:val="center"/>
          </w:tcPr>
          <w:p w14:paraId="5667987F"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3</w:t>
            </w:r>
          </w:p>
        </w:tc>
        <w:tc>
          <w:tcPr>
            <w:tcW w:w="2359" w:type="pct"/>
            <w:shd w:val="clear" w:color="auto" w:fill="auto"/>
            <w:tcMar>
              <w:top w:w="0" w:type="dxa"/>
              <w:bottom w:w="0" w:type="dxa"/>
            </w:tcMar>
            <w:vAlign w:val="center"/>
          </w:tcPr>
          <w:p w14:paraId="5F5211A8"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Profit before tax</w:t>
            </w:r>
          </w:p>
        </w:tc>
        <w:tc>
          <w:tcPr>
            <w:tcW w:w="435" w:type="pct"/>
            <w:shd w:val="clear" w:color="auto" w:fill="auto"/>
            <w:tcMar>
              <w:top w:w="0" w:type="dxa"/>
              <w:bottom w:w="0" w:type="dxa"/>
            </w:tcMar>
            <w:vAlign w:val="center"/>
          </w:tcPr>
          <w:p w14:paraId="6A7C4BD8"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VND</w:t>
            </w:r>
          </w:p>
        </w:tc>
        <w:tc>
          <w:tcPr>
            <w:tcW w:w="1924" w:type="pct"/>
            <w:shd w:val="clear" w:color="auto" w:fill="auto"/>
            <w:tcMar>
              <w:top w:w="0" w:type="dxa"/>
              <w:bottom w:w="0" w:type="dxa"/>
            </w:tcMar>
            <w:vAlign w:val="center"/>
          </w:tcPr>
          <w:p w14:paraId="3D769A4D"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16,726,536,907</w:t>
            </w:r>
          </w:p>
        </w:tc>
      </w:tr>
      <w:tr w:rsidR="006D22B4" w:rsidRPr="00862F35" w14:paraId="643A6717" w14:textId="77777777" w:rsidTr="00862F35">
        <w:tc>
          <w:tcPr>
            <w:tcW w:w="282" w:type="pct"/>
            <w:shd w:val="clear" w:color="auto" w:fill="auto"/>
            <w:tcMar>
              <w:top w:w="0" w:type="dxa"/>
              <w:bottom w:w="0" w:type="dxa"/>
            </w:tcMar>
            <w:vAlign w:val="center"/>
          </w:tcPr>
          <w:p w14:paraId="4751B7D7"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4</w:t>
            </w:r>
          </w:p>
        </w:tc>
        <w:tc>
          <w:tcPr>
            <w:tcW w:w="2359" w:type="pct"/>
            <w:shd w:val="clear" w:color="auto" w:fill="auto"/>
            <w:tcMar>
              <w:top w:w="0" w:type="dxa"/>
              <w:bottom w:w="0" w:type="dxa"/>
            </w:tcMar>
            <w:vAlign w:val="center"/>
          </w:tcPr>
          <w:p w14:paraId="250696D6"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Profit after tax distributed this year</w:t>
            </w:r>
          </w:p>
        </w:tc>
        <w:tc>
          <w:tcPr>
            <w:tcW w:w="435" w:type="pct"/>
            <w:shd w:val="clear" w:color="auto" w:fill="auto"/>
            <w:tcMar>
              <w:top w:w="0" w:type="dxa"/>
              <w:bottom w:w="0" w:type="dxa"/>
            </w:tcMar>
            <w:vAlign w:val="center"/>
          </w:tcPr>
          <w:p w14:paraId="08D56085"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VND</w:t>
            </w:r>
          </w:p>
        </w:tc>
        <w:tc>
          <w:tcPr>
            <w:tcW w:w="1924" w:type="pct"/>
            <w:shd w:val="clear" w:color="auto" w:fill="auto"/>
            <w:tcMar>
              <w:top w:w="0" w:type="dxa"/>
              <w:bottom w:w="0" w:type="dxa"/>
            </w:tcMar>
            <w:vAlign w:val="center"/>
          </w:tcPr>
          <w:p w14:paraId="7CE47A72"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14,672,425,183</w:t>
            </w:r>
          </w:p>
        </w:tc>
      </w:tr>
      <w:tr w:rsidR="006D22B4" w:rsidRPr="00862F35" w14:paraId="1C1E15EF" w14:textId="77777777" w:rsidTr="00862F35">
        <w:tc>
          <w:tcPr>
            <w:tcW w:w="282" w:type="pct"/>
            <w:shd w:val="clear" w:color="auto" w:fill="auto"/>
            <w:tcMar>
              <w:top w:w="0" w:type="dxa"/>
              <w:bottom w:w="0" w:type="dxa"/>
            </w:tcMar>
            <w:vAlign w:val="center"/>
          </w:tcPr>
          <w:p w14:paraId="2F91CAFA"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5</w:t>
            </w:r>
          </w:p>
        </w:tc>
        <w:tc>
          <w:tcPr>
            <w:tcW w:w="2359" w:type="pct"/>
            <w:shd w:val="clear" w:color="auto" w:fill="auto"/>
            <w:tcMar>
              <w:top w:w="0" w:type="dxa"/>
              <w:bottom w:w="0" w:type="dxa"/>
            </w:tcMar>
            <w:vAlign w:val="center"/>
          </w:tcPr>
          <w:p w14:paraId="0724A8B3"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862F35">
              <w:rPr>
                <w:rFonts w:ascii="Arial" w:hAnsi="Arial" w:cs="Arial"/>
                <w:color w:val="010000"/>
                <w:sz w:val="20"/>
              </w:rPr>
              <w:t>Transfered</w:t>
            </w:r>
            <w:proofErr w:type="spellEnd"/>
            <w:r w:rsidRPr="00862F35">
              <w:rPr>
                <w:rFonts w:ascii="Arial" w:hAnsi="Arial" w:cs="Arial"/>
                <w:color w:val="010000"/>
                <w:sz w:val="20"/>
              </w:rPr>
              <w:t xml:space="preserve"> distributed profits of the previous period (2022)</w:t>
            </w:r>
          </w:p>
        </w:tc>
        <w:tc>
          <w:tcPr>
            <w:tcW w:w="435" w:type="pct"/>
            <w:shd w:val="clear" w:color="auto" w:fill="auto"/>
            <w:tcMar>
              <w:top w:w="0" w:type="dxa"/>
              <w:bottom w:w="0" w:type="dxa"/>
            </w:tcMar>
            <w:vAlign w:val="center"/>
          </w:tcPr>
          <w:p w14:paraId="24688045" w14:textId="77777777" w:rsidR="006D22B4" w:rsidRPr="00862F35" w:rsidRDefault="006D22B4" w:rsidP="00862F35">
            <w:pPr>
              <w:spacing w:after="120" w:line="360" w:lineRule="auto"/>
              <w:rPr>
                <w:rFonts w:ascii="Arial" w:eastAsia="Arial" w:hAnsi="Arial" w:cs="Arial"/>
                <w:color w:val="010000"/>
                <w:sz w:val="20"/>
                <w:szCs w:val="20"/>
              </w:rPr>
            </w:pPr>
          </w:p>
        </w:tc>
        <w:tc>
          <w:tcPr>
            <w:tcW w:w="1924" w:type="pct"/>
            <w:shd w:val="clear" w:color="auto" w:fill="auto"/>
            <w:tcMar>
              <w:top w:w="0" w:type="dxa"/>
              <w:bottom w:w="0" w:type="dxa"/>
            </w:tcMar>
            <w:vAlign w:val="center"/>
          </w:tcPr>
          <w:p w14:paraId="580D951B" w14:textId="77777777" w:rsidR="006D22B4" w:rsidRPr="00862F35" w:rsidRDefault="006D22B4" w:rsidP="00862F35">
            <w:pPr>
              <w:spacing w:after="120" w:line="360" w:lineRule="auto"/>
              <w:rPr>
                <w:rFonts w:ascii="Arial" w:eastAsia="Arial" w:hAnsi="Arial" w:cs="Arial"/>
                <w:color w:val="010000"/>
                <w:sz w:val="20"/>
                <w:szCs w:val="20"/>
              </w:rPr>
            </w:pPr>
          </w:p>
        </w:tc>
      </w:tr>
      <w:tr w:rsidR="006D22B4" w:rsidRPr="00862F35" w14:paraId="4E5B5599" w14:textId="77777777" w:rsidTr="00862F35">
        <w:tc>
          <w:tcPr>
            <w:tcW w:w="282" w:type="pct"/>
            <w:shd w:val="clear" w:color="auto" w:fill="auto"/>
            <w:tcMar>
              <w:top w:w="0" w:type="dxa"/>
              <w:bottom w:w="0" w:type="dxa"/>
            </w:tcMar>
            <w:vAlign w:val="center"/>
          </w:tcPr>
          <w:p w14:paraId="493C4598"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5.1</w:t>
            </w:r>
          </w:p>
        </w:tc>
        <w:tc>
          <w:tcPr>
            <w:tcW w:w="2359" w:type="pct"/>
            <w:shd w:val="clear" w:color="auto" w:fill="auto"/>
            <w:tcMar>
              <w:top w:w="0" w:type="dxa"/>
              <w:bottom w:w="0" w:type="dxa"/>
            </w:tcMar>
            <w:vAlign w:val="center"/>
          </w:tcPr>
          <w:p w14:paraId="2846B4E8"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862F35">
              <w:rPr>
                <w:rFonts w:ascii="Arial" w:hAnsi="Arial" w:cs="Arial"/>
                <w:color w:val="010000"/>
                <w:sz w:val="20"/>
              </w:rPr>
              <w:t>Transfered</w:t>
            </w:r>
            <w:proofErr w:type="spellEnd"/>
            <w:r w:rsidRPr="00862F35">
              <w:rPr>
                <w:rFonts w:ascii="Arial" w:hAnsi="Arial" w:cs="Arial"/>
                <w:color w:val="010000"/>
                <w:sz w:val="20"/>
              </w:rPr>
              <w:t xml:space="preserve"> undistributed profit after tax from the previous period</w:t>
            </w:r>
          </w:p>
        </w:tc>
        <w:tc>
          <w:tcPr>
            <w:tcW w:w="435" w:type="pct"/>
            <w:shd w:val="clear" w:color="auto" w:fill="auto"/>
            <w:tcMar>
              <w:top w:w="0" w:type="dxa"/>
              <w:bottom w:w="0" w:type="dxa"/>
            </w:tcMar>
            <w:vAlign w:val="center"/>
          </w:tcPr>
          <w:p w14:paraId="3B96F635"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VND</w:t>
            </w:r>
          </w:p>
        </w:tc>
        <w:tc>
          <w:tcPr>
            <w:tcW w:w="1924" w:type="pct"/>
            <w:shd w:val="clear" w:color="auto" w:fill="auto"/>
            <w:tcMar>
              <w:top w:w="0" w:type="dxa"/>
              <w:bottom w:w="0" w:type="dxa"/>
            </w:tcMar>
            <w:vAlign w:val="center"/>
          </w:tcPr>
          <w:p w14:paraId="29702580"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7,931,742,000</w:t>
            </w:r>
          </w:p>
        </w:tc>
      </w:tr>
      <w:tr w:rsidR="006D22B4" w:rsidRPr="00862F35" w14:paraId="3EBE842D" w14:textId="77777777" w:rsidTr="00862F35">
        <w:tc>
          <w:tcPr>
            <w:tcW w:w="282" w:type="pct"/>
            <w:shd w:val="clear" w:color="auto" w:fill="auto"/>
            <w:tcMar>
              <w:top w:w="0" w:type="dxa"/>
              <w:bottom w:w="0" w:type="dxa"/>
            </w:tcMar>
            <w:vAlign w:val="center"/>
          </w:tcPr>
          <w:p w14:paraId="20EFADF8"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5.2</w:t>
            </w:r>
          </w:p>
        </w:tc>
        <w:tc>
          <w:tcPr>
            <w:tcW w:w="2359" w:type="pct"/>
            <w:shd w:val="clear" w:color="auto" w:fill="auto"/>
            <w:tcMar>
              <w:top w:w="0" w:type="dxa"/>
              <w:bottom w:w="0" w:type="dxa"/>
            </w:tcMar>
            <w:vAlign w:val="center"/>
          </w:tcPr>
          <w:p w14:paraId="25F1BF57"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Dividend payment in 2022</w:t>
            </w:r>
          </w:p>
        </w:tc>
        <w:tc>
          <w:tcPr>
            <w:tcW w:w="435" w:type="pct"/>
            <w:shd w:val="clear" w:color="auto" w:fill="auto"/>
            <w:tcMar>
              <w:top w:w="0" w:type="dxa"/>
              <w:bottom w:w="0" w:type="dxa"/>
            </w:tcMar>
            <w:vAlign w:val="center"/>
          </w:tcPr>
          <w:p w14:paraId="46462194"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VND</w:t>
            </w:r>
          </w:p>
        </w:tc>
        <w:tc>
          <w:tcPr>
            <w:tcW w:w="1924" w:type="pct"/>
            <w:shd w:val="clear" w:color="auto" w:fill="auto"/>
            <w:tcMar>
              <w:top w:w="0" w:type="dxa"/>
              <w:bottom w:w="0" w:type="dxa"/>
            </w:tcMar>
            <w:vAlign w:val="center"/>
          </w:tcPr>
          <w:p w14:paraId="0B8314B8"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7,931,742,000</w:t>
            </w:r>
          </w:p>
        </w:tc>
      </w:tr>
      <w:tr w:rsidR="006D22B4" w:rsidRPr="00862F35" w14:paraId="0650CC98" w14:textId="77777777" w:rsidTr="00862F35">
        <w:tc>
          <w:tcPr>
            <w:tcW w:w="282" w:type="pct"/>
            <w:shd w:val="clear" w:color="auto" w:fill="auto"/>
            <w:tcMar>
              <w:top w:w="0" w:type="dxa"/>
              <w:bottom w:w="0" w:type="dxa"/>
            </w:tcMar>
            <w:vAlign w:val="center"/>
          </w:tcPr>
          <w:p w14:paraId="2DE18811"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5.3</w:t>
            </w:r>
          </w:p>
        </w:tc>
        <w:tc>
          <w:tcPr>
            <w:tcW w:w="2359" w:type="pct"/>
            <w:shd w:val="clear" w:color="auto" w:fill="auto"/>
            <w:tcMar>
              <w:top w:w="0" w:type="dxa"/>
              <w:bottom w:w="0" w:type="dxa"/>
            </w:tcMar>
            <w:vAlign w:val="center"/>
          </w:tcPr>
          <w:p w14:paraId="402DC639" w14:textId="01879515"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Remaining profit after tax of the previous period (after dividend payment)</w:t>
            </w:r>
          </w:p>
        </w:tc>
        <w:tc>
          <w:tcPr>
            <w:tcW w:w="435" w:type="pct"/>
            <w:shd w:val="clear" w:color="auto" w:fill="auto"/>
            <w:tcMar>
              <w:top w:w="0" w:type="dxa"/>
              <w:bottom w:w="0" w:type="dxa"/>
            </w:tcMar>
            <w:vAlign w:val="center"/>
          </w:tcPr>
          <w:p w14:paraId="371A4E93"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VND</w:t>
            </w:r>
          </w:p>
        </w:tc>
        <w:tc>
          <w:tcPr>
            <w:tcW w:w="1924" w:type="pct"/>
            <w:shd w:val="clear" w:color="auto" w:fill="auto"/>
            <w:tcMar>
              <w:top w:w="0" w:type="dxa"/>
              <w:bottom w:w="0" w:type="dxa"/>
            </w:tcMar>
            <w:vAlign w:val="center"/>
          </w:tcPr>
          <w:p w14:paraId="07453D64"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0</w:t>
            </w:r>
          </w:p>
        </w:tc>
      </w:tr>
      <w:tr w:rsidR="006D22B4" w:rsidRPr="00862F35" w14:paraId="265359F8" w14:textId="77777777" w:rsidTr="00862F35">
        <w:tc>
          <w:tcPr>
            <w:tcW w:w="282" w:type="pct"/>
            <w:shd w:val="clear" w:color="auto" w:fill="auto"/>
            <w:tcMar>
              <w:top w:w="0" w:type="dxa"/>
              <w:bottom w:w="0" w:type="dxa"/>
            </w:tcMar>
            <w:vAlign w:val="center"/>
          </w:tcPr>
          <w:p w14:paraId="64C59D96"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6</w:t>
            </w:r>
          </w:p>
        </w:tc>
        <w:tc>
          <w:tcPr>
            <w:tcW w:w="2359" w:type="pct"/>
            <w:shd w:val="clear" w:color="auto" w:fill="auto"/>
            <w:tcMar>
              <w:top w:w="0" w:type="dxa"/>
              <w:bottom w:w="0" w:type="dxa"/>
            </w:tcMar>
            <w:vAlign w:val="center"/>
          </w:tcPr>
          <w:p w14:paraId="0C3B7071" w14:textId="0E1BB67B"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Profit after tax that can be distributed according to Audited Financial Statements as of December 31, 2023</w:t>
            </w:r>
          </w:p>
        </w:tc>
        <w:tc>
          <w:tcPr>
            <w:tcW w:w="435" w:type="pct"/>
            <w:shd w:val="clear" w:color="auto" w:fill="auto"/>
            <w:tcMar>
              <w:top w:w="0" w:type="dxa"/>
              <w:bottom w:w="0" w:type="dxa"/>
            </w:tcMar>
            <w:vAlign w:val="center"/>
          </w:tcPr>
          <w:p w14:paraId="5F555692"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VND</w:t>
            </w:r>
          </w:p>
        </w:tc>
        <w:tc>
          <w:tcPr>
            <w:tcW w:w="1924" w:type="pct"/>
            <w:shd w:val="clear" w:color="auto" w:fill="auto"/>
            <w:tcMar>
              <w:top w:w="0" w:type="dxa"/>
              <w:bottom w:w="0" w:type="dxa"/>
            </w:tcMar>
            <w:vAlign w:val="center"/>
          </w:tcPr>
          <w:p w14:paraId="67E70FBB"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14,672,425,183</w:t>
            </w:r>
          </w:p>
        </w:tc>
      </w:tr>
      <w:tr w:rsidR="006D22B4" w:rsidRPr="00862F35" w14:paraId="38361567" w14:textId="77777777" w:rsidTr="00862F35">
        <w:tc>
          <w:tcPr>
            <w:tcW w:w="282" w:type="pct"/>
            <w:shd w:val="clear" w:color="auto" w:fill="auto"/>
            <w:tcMar>
              <w:top w:w="0" w:type="dxa"/>
              <w:bottom w:w="0" w:type="dxa"/>
            </w:tcMar>
            <w:vAlign w:val="center"/>
          </w:tcPr>
          <w:p w14:paraId="66AF3B2F"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7</w:t>
            </w:r>
          </w:p>
        </w:tc>
        <w:tc>
          <w:tcPr>
            <w:tcW w:w="2359" w:type="pct"/>
            <w:shd w:val="clear" w:color="auto" w:fill="auto"/>
            <w:tcMar>
              <w:top w:w="0" w:type="dxa"/>
              <w:bottom w:w="0" w:type="dxa"/>
            </w:tcMar>
            <w:vAlign w:val="center"/>
          </w:tcPr>
          <w:p w14:paraId="6B7E6DD6" w14:textId="79B03CF9"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Distribution of profits after tax this year. In which:</w:t>
            </w:r>
          </w:p>
        </w:tc>
        <w:tc>
          <w:tcPr>
            <w:tcW w:w="435" w:type="pct"/>
            <w:shd w:val="clear" w:color="auto" w:fill="auto"/>
            <w:tcMar>
              <w:top w:w="0" w:type="dxa"/>
              <w:bottom w:w="0" w:type="dxa"/>
            </w:tcMar>
            <w:vAlign w:val="center"/>
          </w:tcPr>
          <w:p w14:paraId="6C489CEE"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VND</w:t>
            </w:r>
          </w:p>
        </w:tc>
        <w:tc>
          <w:tcPr>
            <w:tcW w:w="1924" w:type="pct"/>
            <w:shd w:val="clear" w:color="auto" w:fill="auto"/>
            <w:tcMar>
              <w:top w:w="0" w:type="dxa"/>
              <w:bottom w:w="0" w:type="dxa"/>
            </w:tcMar>
            <w:vAlign w:val="center"/>
          </w:tcPr>
          <w:p w14:paraId="38B94FC5"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14,672,425,183</w:t>
            </w:r>
          </w:p>
        </w:tc>
      </w:tr>
      <w:tr w:rsidR="006D22B4" w:rsidRPr="00862F35" w14:paraId="5799D38B" w14:textId="77777777" w:rsidTr="00862F35">
        <w:tc>
          <w:tcPr>
            <w:tcW w:w="282" w:type="pct"/>
            <w:shd w:val="clear" w:color="auto" w:fill="auto"/>
            <w:tcMar>
              <w:top w:w="0" w:type="dxa"/>
              <w:bottom w:w="0" w:type="dxa"/>
            </w:tcMar>
            <w:vAlign w:val="center"/>
          </w:tcPr>
          <w:p w14:paraId="0DDFEC49"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7.1</w:t>
            </w:r>
          </w:p>
        </w:tc>
        <w:tc>
          <w:tcPr>
            <w:tcW w:w="2359" w:type="pct"/>
            <w:shd w:val="clear" w:color="auto" w:fill="auto"/>
            <w:tcMar>
              <w:top w:w="0" w:type="dxa"/>
              <w:bottom w:w="0" w:type="dxa"/>
            </w:tcMar>
            <w:vAlign w:val="center"/>
          </w:tcPr>
          <w:p w14:paraId="62785428"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Bonus and welfare fund</w:t>
            </w:r>
          </w:p>
        </w:tc>
        <w:tc>
          <w:tcPr>
            <w:tcW w:w="435" w:type="pct"/>
            <w:shd w:val="clear" w:color="auto" w:fill="auto"/>
            <w:tcMar>
              <w:top w:w="0" w:type="dxa"/>
              <w:bottom w:w="0" w:type="dxa"/>
            </w:tcMar>
            <w:vAlign w:val="center"/>
          </w:tcPr>
          <w:p w14:paraId="3D415FBE"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w:t>
            </w:r>
          </w:p>
        </w:tc>
        <w:tc>
          <w:tcPr>
            <w:tcW w:w="1924" w:type="pct"/>
            <w:shd w:val="clear" w:color="auto" w:fill="auto"/>
            <w:tcMar>
              <w:top w:w="0" w:type="dxa"/>
              <w:bottom w:w="0" w:type="dxa"/>
            </w:tcMar>
            <w:vAlign w:val="center"/>
          </w:tcPr>
          <w:p w14:paraId="1002D45E"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23% Profit after tax</w:t>
            </w:r>
          </w:p>
        </w:tc>
      </w:tr>
      <w:tr w:rsidR="006D22B4" w:rsidRPr="00862F35" w14:paraId="240F77BE" w14:textId="77777777" w:rsidTr="00862F35">
        <w:tc>
          <w:tcPr>
            <w:tcW w:w="282" w:type="pct"/>
            <w:shd w:val="clear" w:color="auto" w:fill="auto"/>
            <w:tcMar>
              <w:top w:w="0" w:type="dxa"/>
              <w:bottom w:w="0" w:type="dxa"/>
            </w:tcMar>
            <w:vAlign w:val="center"/>
          </w:tcPr>
          <w:p w14:paraId="43555A95" w14:textId="77777777" w:rsidR="006D22B4" w:rsidRPr="00862F35" w:rsidRDefault="006D22B4" w:rsidP="00862F35">
            <w:pPr>
              <w:pBdr>
                <w:top w:val="nil"/>
                <w:left w:val="nil"/>
                <w:bottom w:val="nil"/>
                <w:right w:val="nil"/>
                <w:between w:val="nil"/>
              </w:pBdr>
              <w:spacing w:after="120" w:line="360" w:lineRule="auto"/>
              <w:rPr>
                <w:rFonts w:ascii="Arial" w:eastAsia="Arial" w:hAnsi="Arial" w:cs="Arial"/>
                <w:color w:val="010000"/>
                <w:sz w:val="20"/>
                <w:szCs w:val="20"/>
              </w:rPr>
            </w:pPr>
          </w:p>
        </w:tc>
        <w:tc>
          <w:tcPr>
            <w:tcW w:w="2359" w:type="pct"/>
            <w:shd w:val="clear" w:color="auto" w:fill="auto"/>
            <w:tcMar>
              <w:top w:w="0" w:type="dxa"/>
              <w:bottom w:w="0" w:type="dxa"/>
            </w:tcMar>
            <w:vAlign w:val="center"/>
          </w:tcPr>
          <w:p w14:paraId="3C80CCDD" w14:textId="77777777" w:rsidR="006D22B4" w:rsidRPr="00862F35" w:rsidRDefault="00862F35" w:rsidP="00862F3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2F35">
              <w:rPr>
                <w:rFonts w:ascii="Arial" w:hAnsi="Arial" w:cs="Arial"/>
                <w:color w:val="010000"/>
                <w:sz w:val="20"/>
              </w:rPr>
              <w:t>Bonus fund</w:t>
            </w:r>
          </w:p>
        </w:tc>
        <w:tc>
          <w:tcPr>
            <w:tcW w:w="435" w:type="pct"/>
            <w:shd w:val="clear" w:color="auto" w:fill="auto"/>
            <w:tcMar>
              <w:top w:w="0" w:type="dxa"/>
              <w:bottom w:w="0" w:type="dxa"/>
            </w:tcMar>
            <w:vAlign w:val="center"/>
          </w:tcPr>
          <w:p w14:paraId="343FFFBF" w14:textId="77777777" w:rsidR="006D22B4" w:rsidRPr="00862F35" w:rsidRDefault="00862F35" w:rsidP="00862F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62F35">
              <w:rPr>
                <w:rFonts w:ascii="Arial" w:hAnsi="Arial" w:cs="Arial"/>
                <w:color w:val="010000"/>
                <w:sz w:val="20"/>
              </w:rPr>
              <w:t>%</w:t>
            </w:r>
          </w:p>
        </w:tc>
        <w:tc>
          <w:tcPr>
            <w:tcW w:w="1924" w:type="pct"/>
            <w:shd w:val="clear" w:color="auto" w:fill="auto"/>
            <w:tcMar>
              <w:top w:w="0" w:type="dxa"/>
              <w:bottom w:w="0" w:type="dxa"/>
            </w:tcMar>
            <w:vAlign w:val="center"/>
          </w:tcPr>
          <w:p w14:paraId="1643047A" w14:textId="77777777" w:rsidR="006D22B4" w:rsidRPr="00862F35" w:rsidRDefault="00862F35" w:rsidP="00862F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62F35">
              <w:rPr>
                <w:rFonts w:ascii="Arial" w:hAnsi="Arial" w:cs="Arial"/>
                <w:color w:val="010000"/>
                <w:sz w:val="20"/>
              </w:rPr>
              <w:t>13% Profit after tax</w:t>
            </w:r>
          </w:p>
        </w:tc>
      </w:tr>
      <w:tr w:rsidR="006D22B4" w:rsidRPr="00862F35" w14:paraId="5A793518" w14:textId="77777777" w:rsidTr="00862F35">
        <w:tc>
          <w:tcPr>
            <w:tcW w:w="282" w:type="pct"/>
            <w:shd w:val="clear" w:color="auto" w:fill="auto"/>
            <w:tcMar>
              <w:top w:w="0" w:type="dxa"/>
              <w:bottom w:w="0" w:type="dxa"/>
            </w:tcMar>
            <w:vAlign w:val="center"/>
          </w:tcPr>
          <w:p w14:paraId="00716914" w14:textId="77777777" w:rsidR="006D22B4" w:rsidRPr="00862F35" w:rsidRDefault="006D22B4" w:rsidP="00862F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359" w:type="pct"/>
            <w:shd w:val="clear" w:color="auto" w:fill="auto"/>
            <w:tcMar>
              <w:top w:w="0" w:type="dxa"/>
              <w:bottom w:w="0" w:type="dxa"/>
            </w:tcMar>
            <w:vAlign w:val="center"/>
          </w:tcPr>
          <w:p w14:paraId="19D8C875" w14:textId="77777777" w:rsidR="006D22B4" w:rsidRPr="00862F35" w:rsidRDefault="00862F35" w:rsidP="00862F3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62F35">
              <w:rPr>
                <w:rFonts w:ascii="Arial" w:hAnsi="Arial" w:cs="Arial"/>
                <w:color w:val="010000"/>
                <w:sz w:val="20"/>
              </w:rPr>
              <w:t>Welfare fund</w:t>
            </w:r>
          </w:p>
        </w:tc>
        <w:tc>
          <w:tcPr>
            <w:tcW w:w="435" w:type="pct"/>
            <w:shd w:val="clear" w:color="auto" w:fill="auto"/>
            <w:tcMar>
              <w:top w:w="0" w:type="dxa"/>
              <w:bottom w:w="0" w:type="dxa"/>
            </w:tcMar>
            <w:vAlign w:val="center"/>
          </w:tcPr>
          <w:p w14:paraId="2C8F0015"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w:t>
            </w:r>
          </w:p>
        </w:tc>
        <w:tc>
          <w:tcPr>
            <w:tcW w:w="1924" w:type="pct"/>
            <w:shd w:val="clear" w:color="auto" w:fill="auto"/>
            <w:tcMar>
              <w:top w:w="0" w:type="dxa"/>
              <w:bottom w:w="0" w:type="dxa"/>
            </w:tcMar>
            <w:vAlign w:val="center"/>
          </w:tcPr>
          <w:p w14:paraId="0502E0DD"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10% Profit after tax</w:t>
            </w:r>
          </w:p>
        </w:tc>
      </w:tr>
      <w:tr w:rsidR="006D22B4" w:rsidRPr="00862F35" w14:paraId="29A0B7A0" w14:textId="77777777" w:rsidTr="00862F35">
        <w:tc>
          <w:tcPr>
            <w:tcW w:w="282" w:type="pct"/>
            <w:shd w:val="clear" w:color="auto" w:fill="auto"/>
            <w:tcMar>
              <w:top w:w="0" w:type="dxa"/>
              <w:bottom w:w="0" w:type="dxa"/>
            </w:tcMar>
            <w:vAlign w:val="center"/>
          </w:tcPr>
          <w:p w14:paraId="76F6C1C1"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lastRenderedPageBreak/>
              <w:t>7.2</w:t>
            </w:r>
          </w:p>
        </w:tc>
        <w:tc>
          <w:tcPr>
            <w:tcW w:w="2359" w:type="pct"/>
            <w:shd w:val="clear" w:color="auto" w:fill="auto"/>
            <w:tcMar>
              <w:top w:w="0" w:type="dxa"/>
              <w:bottom w:w="0" w:type="dxa"/>
            </w:tcMar>
            <w:vAlign w:val="center"/>
          </w:tcPr>
          <w:p w14:paraId="7373FE26"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Bonus fund for the Executive Board</w:t>
            </w:r>
          </w:p>
        </w:tc>
        <w:tc>
          <w:tcPr>
            <w:tcW w:w="435" w:type="pct"/>
            <w:shd w:val="clear" w:color="auto" w:fill="auto"/>
            <w:tcMar>
              <w:top w:w="0" w:type="dxa"/>
              <w:bottom w:w="0" w:type="dxa"/>
            </w:tcMar>
            <w:vAlign w:val="center"/>
          </w:tcPr>
          <w:p w14:paraId="43E9ED84"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w:t>
            </w:r>
          </w:p>
        </w:tc>
        <w:tc>
          <w:tcPr>
            <w:tcW w:w="1924" w:type="pct"/>
            <w:shd w:val="clear" w:color="auto" w:fill="auto"/>
            <w:tcMar>
              <w:top w:w="0" w:type="dxa"/>
              <w:bottom w:w="0" w:type="dxa"/>
            </w:tcMar>
            <w:vAlign w:val="center"/>
          </w:tcPr>
          <w:p w14:paraId="0049C895"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5% Profit after tax</w:t>
            </w:r>
          </w:p>
        </w:tc>
      </w:tr>
      <w:tr w:rsidR="006D22B4" w:rsidRPr="00862F35" w14:paraId="5A68796B" w14:textId="77777777" w:rsidTr="00862F35">
        <w:tc>
          <w:tcPr>
            <w:tcW w:w="282" w:type="pct"/>
            <w:shd w:val="clear" w:color="auto" w:fill="auto"/>
            <w:tcMar>
              <w:top w:w="0" w:type="dxa"/>
              <w:bottom w:w="0" w:type="dxa"/>
            </w:tcMar>
            <w:vAlign w:val="center"/>
          </w:tcPr>
          <w:p w14:paraId="15B13126"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7.3</w:t>
            </w:r>
          </w:p>
        </w:tc>
        <w:tc>
          <w:tcPr>
            <w:tcW w:w="2359" w:type="pct"/>
            <w:shd w:val="clear" w:color="auto" w:fill="auto"/>
            <w:tcMar>
              <w:top w:w="0" w:type="dxa"/>
              <w:bottom w:w="0" w:type="dxa"/>
            </w:tcMar>
            <w:vAlign w:val="center"/>
          </w:tcPr>
          <w:p w14:paraId="49B72D43"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Dividend payment for shareholders:</w:t>
            </w:r>
          </w:p>
        </w:tc>
        <w:tc>
          <w:tcPr>
            <w:tcW w:w="435" w:type="pct"/>
            <w:shd w:val="clear" w:color="auto" w:fill="auto"/>
            <w:tcMar>
              <w:top w:w="0" w:type="dxa"/>
              <w:bottom w:w="0" w:type="dxa"/>
            </w:tcMar>
            <w:vAlign w:val="center"/>
          </w:tcPr>
          <w:p w14:paraId="13502E7F" w14:textId="77777777" w:rsidR="006D22B4" w:rsidRPr="00862F35" w:rsidRDefault="006D22B4" w:rsidP="00862F35">
            <w:pPr>
              <w:pBdr>
                <w:top w:val="nil"/>
                <w:left w:val="nil"/>
                <w:bottom w:val="nil"/>
                <w:right w:val="nil"/>
                <w:between w:val="nil"/>
              </w:pBdr>
              <w:spacing w:after="120" w:line="360" w:lineRule="auto"/>
              <w:rPr>
                <w:rFonts w:ascii="Arial" w:eastAsia="Arial" w:hAnsi="Arial" w:cs="Arial"/>
                <w:color w:val="010000"/>
                <w:sz w:val="20"/>
                <w:szCs w:val="20"/>
              </w:rPr>
            </w:pPr>
          </w:p>
        </w:tc>
        <w:tc>
          <w:tcPr>
            <w:tcW w:w="1924" w:type="pct"/>
            <w:shd w:val="clear" w:color="auto" w:fill="auto"/>
            <w:tcMar>
              <w:top w:w="0" w:type="dxa"/>
              <w:bottom w:w="0" w:type="dxa"/>
            </w:tcMar>
            <w:vAlign w:val="center"/>
          </w:tcPr>
          <w:p w14:paraId="061478BC"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14% par value (VND 1,400/share).</w:t>
            </w:r>
          </w:p>
        </w:tc>
      </w:tr>
      <w:tr w:rsidR="006D22B4" w:rsidRPr="00862F35" w14:paraId="1DAC6925" w14:textId="77777777" w:rsidTr="00862F35">
        <w:tc>
          <w:tcPr>
            <w:tcW w:w="282" w:type="pct"/>
            <w:shd w:val="clear" w:color="auto" w:fill="auto"/>
            <w:tcMar>
              <w:top w:w="0" w:type="dxa"/>
              <w:bottom w:w="0" w:type="dxa"/>
            </w:tcMar>
            <w:vAlign w:val="center"/>
          </w:tcPr>
          <w:p w14:paraId="7506F5C1"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7.4</w:t>
            </w:r>
          </w:p>
        </w:tc>
        <w:tc>
          <w:tcPr>
            <w:tcW w:w="2359" w:type="pct"/>
            <w:shd w:val="clear" w:color="auto" w:fill="auto"/>
            <w:tcMar>
              <w:top w:w="0" w:type="dxa"/>
              <w:bottom w:w="0" w:type="dxa"/>
            </w:tcMar>
            <w:vAlign w:val="center"/>
          </w:tcPr>
          <w:p w14:paraId="270EDEEE"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Development Fund</w:t>
            </w:r>
          </w:p>
        </w:tc>
        <w:tc>
          <w:tcPr>
            <w:tcW w:w="435" w:type="pct"/>
            <w:shd w:val="clear" w:color="auto" w:fill="auto"/>
            <w:tcMar>
              <w:top w:w="0" w:type="dxa"/>
              <w:bottom w:w="0" w:type="dxa"/>
            </w:tcMar>
            <w:vAlign w:val="center"/>
          </w:tcPr>
          <w:p w14:paraId="008B2702" w14:textId="77777777" w:rsidR="006D22B4" w:rsidRPr="00862F35" w:rsidRDefault="006D22B4" w:rsidP="00862F35">
            <w:pPr>
              <w:pBdr>
                <w:top w:val="nil"/>
                <w:left w:val="nil"/>
                <w:bottom w:val="nil"/>
                <w:right w:val="nil"/>
                <w:between w:val="nil"/>
              </w:pBdr>
              <w:spacing w:after="120" w:line="360" w:lineRule="auto"/>
              <w:rPr>
                <w:rFonts w:ascii="Arial" w:eastAsia="Arial" w:hAnsi="Arial" w:cs="Arial"/>
                <w:color w:val="010000"/>
                <w:sz w:val="20"/>
                <w:szCs w:val="20"/>
              </w:rPr>
            </w:pPr>
          </w:p>
        </w:tc>
        <w:tc>
          <w:tcPr>
            <w:tcW w:w="1924" w:type="pct"/>
            <w:shd w:val="clear" w:color="auto" w:fill="auto"/>
            <w:tcMar>
              <w:top w:w="0" w:type="dxa"/>
              <w:bottom w:w="0" w:type="dxa"/>
            </w:tcMar>
            <w:vAlign w:val="center"/>
          </w:tcPr>
          <w:p w14:paraId="75642355"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Profit after tax remaining after distribution of funds and dividends.</w:t>
            </w:r>
          </w:p>
        </w:tc>
      </w:tr>
    </w:tbl>
    <w:p w14:paraId="7A4A79CB" w14:textId="1158D7F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Article 6: Approve the Proposal on the production and business plan 2024; distribution on profits after tax, appropriation for funds and approve salary unit prices in 2024.</w:t>
      </w:r>
    </w:p>
    <w:p w14:paraId="31A7479C"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bCs/>
          <w:color w:val="010000"/>
          <w:sz w:val="20"/>
          <w:szCs w:val="20"/>
        </w:rPr>
      </w:pPr>
      <w:r w:rsidRPr="00862F35">
        <w:rPr>
          <w:rFonts w:ascii="Arial" w:hAnsi="Arial" w:cs="Arial"/>
          <w:bCs/>
          <w:color w:val="010000"/>
          <w:sz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2471"/>
        <w:gridCol w:w="1502"/>
        <w:gridCol w:w="1502"/>
        <w:gridCol w:w="1502"/>
        <w:gridCol w:w="1504"/>
      </w:tblGrid>
      <w:tr w:rsidR="006D22B4" w:rsidRPr="00862F35" w14:paraId="1040D0B3" w14:textId="77777777" w:rsidTr="00862F35">
        <w:tc>
          <w:tcPr>
            <w:tcW w:w="297" w:type="pct"/>
            <w:vMerge w:val="restart"/>
            <w:shd w:val="clear" w:color="auto" w:fill="auto"/>
            <w:vAlign w:val="center"/>
          </w:tcPr>
          <w:p w14:paraId="79730223"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No.</w:t>
            </w:r>
          </w:p>
        </w:tc>
        <w:tc>
          <w:tcPr>
            <w:tcW w:w="1370" w:type="pct"/>
            <w:vMerge w:val="restart"/>
            <w:shd w:val="clear" w:color="auto" w:fill="auto"/>
            <w:vAlign w:val="center"/>
          </w:tcPr>
          <w:p w14:paraId="4C25EA15"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Target</w:t>
            </w:r>
          </w:p>
        </w:tc>
        <w:tc>
          <w:tcPr>
            <w:tcW w:w="833" w:type="pct"/>
            <w:vMerge w:val="restart"/>
            <w:shd w:val="clear" w:color="auto" w:fill="auto"/>
            <w:vAlign w:val="center"/>
          </w:tcPr>
          <w:p w14:paraId="6591FAB9"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Unit</w:t>
            </w:r>
          </w:p>
        </w:tc>
        <w:tc>
          <w:tcPr>
            <w:tcW w:w="833" w:type="pct"/>
            <w:vMerge w:val="restart"/>
            <w:shd w:val="clear" w:color="auto" w:fill="auto"/>
            <w:vAlign w:val="center"/>
          </w:tcPr>
          <w:p w14:paraId="2C4C75E8"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Result in 2023</w:t>
            </w:r>
          </w:p>
        </w:tc>
        <w:tc>
          <w:tcPr>
            <w:tcW w:w="1667" w:type="pct"/>
            <w:gridSpan w:val="2"/>
            <w:shd w:val="clear" w:color="auto" w:fill="auto"/>
            <w:vAlign w:val="center"/>
          </w:tcPr>
          <w:p w14:paraId="0C5411F0"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Plan in 2024</w:t>
            </w:r>
          </w:p>
        </w:tc>
      </w:tr>
      <w:tr w:rsidR="006D22B4" w:rsidRPr="00862F35" w14:paraId="7C1D8280" w14:textId="77777777" w:rsidTr="00862F35">
        <w:tc>
          <w:tcPr>
            <w:tcW w:w="297" w:type="pct"/>
            <w:vMerge/>
            <w:shd w:val="clear" w:color="auto" w:fill="auto"/>
            <w:vAlign w:val="center"/>
          </w:tcPr>
          <w:p w14:paraId="21931276" w14:textId="77777777" w:rsidR="006D22B4" w:rsidRPr="00862F35" w:rsidRDefault="006D22B4" w:rsidP="00862F35">
            <w:pPr>
              <w:pBdr>
                <w:top w:val="nil"/>
                <w:left w:val="nil"/>
                <w:bottom w:val="nil"/>
                <w:right w:val="nil"/>
                <w:between w:val="nil"/>
              </w:pBdr>
              <w:spacing w:after="120" w:line="360" w:lineRule="auto"/>
              <w:rPr>
                <w:rFonts w:ascii="Arial" w:eastAsia="Arial" w:hAnsi="Arial" w:cs="Arial"/>
                <w:color w:val="010000"/>
                <w:sz w:val="20"/>
                <w:szCs w:val="20"/>
              </w:rPr>
            </w:pPr>
          </w:p>
        </w:tc>
        <w:tc>
          <w:tcPr>
            <w:tcW w:w="1370" w:type="pct"/>
            <w:vMerge/>
            <w:shd w:val="clear" w:color="auto" w:fill="auto"/>
            <w:vAlign w:val="center"/>
          </w:tcPr>
          <w:p w14:paraId="2237EB85" w14:textId="77777777" w:rsidR="006D22B4" w:rsidRPr="00862F35" w:rsidRDefault="006D22B4" w:rsidP="00862F35">
            <w:pPr>
              <w:pBdr>
                <w:top w:val="nil"/>
                <w:left w:val="nil"/>
                <w:bottom w:val="nil"/>
                <w:right w:val="nil"/>
                <w:between w:val="nil"/>
              </w:pBdr>
              <w:spacing w:after="120" w:line="360" w:lineRule="auto"/>
              <w:rPr>
                <w:rFonts w:ascii="Arial" w:eastAsia="Arial" w:hAnsi="Arial" w:cs="Arial"/>
                <w:color w:val="010000"/>
                <w:sz w:val="20"/>
                <w:szCs w:val="20"/>
              </w:rPr>
            </w:pPr>
          </w:p>
        </w:tc>
        <w:tc>
          <w:tcPr>
            <w:tcW w:w="833" w:type="pct"/>
            <w:vMerge/>
            <w:shd w:val="clear" w:color="auto" w:fill="auto"/>
            <w:vAlign w:val="center"/>
          </w:tcPr>
          <w:p w14:paraId="56531F10" w14:textId="77777777" w:rsidR="006D22B4" w:rsidRPr="00862F35" w:rsidRDefault="006D22B4" w:rsidP="00862F35">
            <w:pPr>
              <w:pBdr>
                <w:top w:val="nil"/>
                <w:left w:val="nil"/>
                <w:bottom w:val="nil"/>
                <w:right w:val="nil"/>
                <w:between w:val="nil"/>
              </w:pBdr>
              <w:spacing w:after="120" w:line="360" w:lineRule="auto"/>
              <w:rPr>
                <w:rFonts w:ascii="Arial" w:eastAsia="Arial" w:hAnsi="Arial" w:cs="Arial"/>
                <w:color w:val="010000"/>
                <w:sz w:val="20"/>
                <w:szCs w:val="20"/>
              </w:rPr>
            </w:pPr>
          </w:p>
        </w:tc>
        <w:tc>
          <w:tcPr>
            <w:tcW w:w="833" w:type="pct"/>
            <w:vMerge/>
            <w:shd w:val="clear" w:color="auto" w:fill="auto"/>
            <w:vAlign w:val="center"/>
          </w:tcPr>
          <w:p w14:paraId="4DDB892B" w14:textId="77777777" w:rsidR="006D22B4" w:rsidRPr="00862F35" w:rsidRDefault="006D22B4" w:rsidP="00862F35">
            <w:pPr>
              <w:pBdr>
                <w:top w:val="nil"/>
                <w:left w:val="nil"/>
                <w:bottom w:val="nil"/>
                <w:right w:val="nil"/>
                <w:between w:val="nil"/>
              </w:pBdr>
              <w:spacing w:after="120" w:line="360" w:lineRule="auto"/>
              <w:rPr>
                <w:rFonts w:ascii="Arial" w:eastAsia="Arial" w:hAnsi="Arial" w:cs="Arial"/>
                <w:color w:val="010000"/>
                <w:sz w:val="20"/>
                <w:szCs w:val="20"/>
              </w:rPr>
            </w:pPr>
          </w:p>
        </w:tc>
        <w:tc>
          <w:tcPr>
            <w:tcW w:w="833" w:type="pct"/>
            <w:shd w:val="clear" w:color="auto" w:fill="auto"/>
            <w:vAlign w:val="center"/>
          </w:tcPr>
          <w:p w14:paraId="7A2A2716"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 xml:space="preserve">Value </w:t>
            </w:r>
          </w:p>
        </w:tc>
        <w:tc>
          <w:tcPr>
            <w:tcW w:w="834" w:type="pct"/>
            <w:shd w:val="clear" w:color="auto" w:fill="auto"/>
            <w:vAlign w:val="center"/>
          </w:tcPr>
          <w:p w14:paraId="3E2A697C"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%/2023</w:t>
            </w:r>
          </w:p>
        </w:tc>
      </w:tr>
      <w:tr w:rsidR="006D22B4" w:rsidRPr="00862F35" w14:paraId="06B68BD5" w14:textId="77777777" w:rsidTr="00862F35">
        <w:tc>
          <w:tcPr>
            <w:tcW w:w="297" w:type="pct"/>
            <w:shd w:val="clear" w:color="auto" w:fill="auto"/>
            <w:vAlign w:val="center"/>
          </w:tcPr>
          <w:p w14:paraId="13245B25"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w:t>
            </w:r>
          </w:p>
        </w:tc>
        <w:tc>
          <w:tcPr>
            <w:tcW w:w="1370" w:type="pct"/>
            <w:shd w:val="clear" w:color="auto" w:fill="auto"/>
            <w:vAlign w:val="center"/>
          </w:tcPr>
          <w:p w14:paraId="74C94A9E"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Revenue and income</w:t>
            </w:r>
          </w:p>
        </w:tc>
        <w:tc>
          <w:tcPr>
            <w:tcW w:w="833" w:type="pct"/>
            <w:shd w:val="clear" w:color="auto" w:fill="auto"/>
            <w:vAlign w:val="center"/>
          </w:tcPr>
          <w:p w14:paraId="694087BB"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Million VND</w:t>
            </w:r>
          </w:p>
        </w:tc>
        <w:tc>
          <w:tcPr>
            <w:tcW w:w="833" w:type="pct"/>
            <w:shd w:val="clear" w:color="auto" w:fill="auto"/>
            <w:vAlign w:val="center"/>
          </w:tcPr>
          <w:p w14:paraId="6BA40658"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480,586</w:t>
            </w:r>
          </w:p>
        </w:tc>
        <w:tc>
          <w:tcPr>
            <w:tcW w:w="833" w:type="pct"/>
            <w:shd w:val="clear" w:color="auto" w:fill="auto"/>
            <w:vAlign w:val="center"/>
          </w:tcPr>
          <w:p w14:paraId="0E945003"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463,000</w:t>
            </w:r>
          </w:p>
        </w:tc>
        <w:tc>
          <w:tcPr>
            <w:tcW w:w="834" w:type="pct"/>
            <w:shd w:val="clear" w:color="auto" w:fill="auto"/>
            <w:vAlign w:val="center"/>
          </w:tcPr>
          <w:p w14:paraId="6ACE483F"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96.34%</w:t>
            </w:r>
          </w:p>
        </w:tc>
      </w:tr>
      <w:tr w:rsidR="006D22B4" w:rsidRPr="00862F35" w14:paraId="0AFBC637" w14:textId="77777777" w:rsidTr="00862F35">
        <w:tc>
          <w:tcPr>
            <w:tcW w:w="297" w:type="pct"/>
            <w:shd w:val="clear" w:color="auto" w:fill="auto"/>
            <w:vAlign w:val="center"/>
          </w:tcPr>
          <w:p w14:paraId="241F1012"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2</w:t>
            </w:r>
          </w:p>
        </w:tc>
        <w:tc>
          <w:tcPr>
            <w:tcW w:w="1370" w:type="pct"/>
            <w:shd w:val="clear" w:color="auto" w:fill="auto"/>
            <w:vAlign w:val="center"/>
          </w:tcPr>
          <w:p w14:paraId="56B84406"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Profit before tax</w:t>
            </w:r>
          </w:p>
        </w:tc>
        <w:tc>
          <w:tcPr>
            <w:tcW w:w="833" w:type="pct"/>
            <w:shd w:val="clear" w:color="auto" w:fill="auto"/>
            <w:vAlign w:val="center"/>
          </w:tcPr>
          <w:p w14:paraId="761690F0"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Million VND</w:t>
            </w:r>
          </w:p>
        </w:tc>
        <w:tc>
          <w:tcPr>
            <w:tcW w:w="833" w:type="pct"/>
            <w:shd w:val="clear" w:color="auto" w:fill="auto"/>
            <w:vAlign w:val="center"/>
          </w:tcPr>
          <w:p w14:paraId="5AC34391"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16,727</w:t>
            </w:r>
          </w:p>
        </w:tc>
        <w:tc>
          <w:tcPr>
            <w:tcW w:w="833" w:type="pct"/>
            <w:shd w:val="clear" w:color="auto" w:fill="auto"/>
            <w:vAlign w:val="center"/>
          </w:tcPr>
          <w:p w14:paraId="1003FF99"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16,000</w:t>
            </w:r>
          </w:p>
        </w:tc>
        <w:tc>
          <w:tcPr>
            <w:tcW w:w="834" w:type="pct"/>
            <w:shd w:val="clear" w:color="auto" w:fill="auto"/>
            <w:vAlign w:val="center"/>
          </w:tcPr>
          <w:p w14:paraId="047155F8"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95.65%</w:t>
            </w:r>
          </w:p>
        </w:tc>
      </w:tr>
      <w:tr w:rsidR="006D22B4" w:rsidRPr="00862F35" w14:paraId="66D26EB0" w14:textId="77777777" w:rsidTr="00862F35">
        <w:tc>
          <w:tcPr>
            <w:tcW w:w="297" w:type="pct"/>
            <w:shd w:val="clear" w:color="auto" w:fill="auto"/>
            <w:vAlign w:val="center"/>
          </w:tcPr>
          <w:p w14:paraId="77EFEB84"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3</w:t>
            </w:r>
          </w:p>
        </w:tc>
        <w:tc>
          <w:tcPr>
            <w:tcW w:w="1370" w:type="pct"/>
            <w:shd w:val="clear" w:color="auto" w:fill="auto"/>
            <w:vAlign w:val="center"/>
          </w:tcPr>
          <w:p w14:paraId="4A2B285B"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Dividend</w:t>
            </w:r>
          </w:p>
        </w:tc>
        <w:tc>
          <w:tcPr>
            <w:tcW w:w="833" w:type="pct"/>
            <w:shd w:val="clear" w:color="auto" w:fill="auto"/>
            <w:vAlign w:val="center"/>
          </w:tcPr>
          <w:p w14:paraId="74B7F935"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w:t>
            </w:r>
          </w:p>
        </w:tc>
        <w:tc>
          <w:tcPr>
            <w:tcW w:w="833" w:type="pct"/>
            <w:shd w:val="clear" w:color="auto" w:fill="auto"/>
            <w:vAlign w:val="center"/>
          </w:tcPr>
          <w:p w14:paraId="50E05167"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14</w:t>
            </w:r>
          </w:p>
        </w:tc>
        <w:tc>
          <w:tcPr>
            <w:tcW w:w="833" w:type="pct"/>
            <w:shd w:val="clear" w:color="auto" w:fill="auto"/>
            <w:vAlign w:val="center"/>
          </w:tcPr>
          <w:p w14:paraId="489FACAA"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14</w:t>
            </w:r>
          </w:p>
        </w:tc>
        <w:tc>
          <w:tcPr>
            <w:tcW w:w="834" w:type="pct"/>
            <w:shd w:val="clear" w:color="auto" w:fill="auto"/>
            <w:vAlign w:val="center"/>
          </w:tcPr>
          <w:p w14:paraId="30AFE434" w14:textId="77777777"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100%</w:t>
            </w:r>
          </w:p>
        </w:tc>
      </w:tr>
    </w:tbl>
    <w:p w14:paraId="52CAB415" w14:textId="1D44864D" w:rsidR="006D22B4" w:rsidRPr="00862F35" w:rsidRDefault="00862F35" w:rsidP="00862F35">
      <w:pPr>
        <w:pBdr>
          <w:top w:val="nil"/>
          <w:left w:val="nil"/>
          <w:bottom w:val="nil"/>
          <w:right w:val="nil"/>
          <w:between w:val="nil"/>
        </w:pBdr>
        <w:spacing w:after="120" w:line="360" w:lineRule="auto"/>
        <w:rPr>
          <w:rFonts w:ascii="Arial" w:eastAsia="Arial" w:hAnsi="Arial" w:cs="Arial"/>
          <w:color w:val="010000"/>
          <w:sz w:val="20"/>
          <w:szCs w:val="20"/>
        </w:rPr>
      </w:pPr>
      <w:r w:rsidRPr="00862F35">
        <w:rPr>
          <w:rFonts w:ascii="Arial" w:hAnsi="Arial" w:cs="Arial"/>
          <w:color w:val="010000"/>
          <w:sz w:val="20"/>
        </w:rPr>
        <w:t>Article 7: Approve the Proposal on the Remuneration for the Board of Directors and the Supervisory Board</w:t>
      </w:r>
    </w:p>
    <w:p w14:paraId="56BA9790" w14:textId="14CA5191" w:rsidR="006D22B4" w:rsidRPr="00862F35" w:rsidRDefault="00862F35" w:rsidP="000E58E3">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862F35">
        <w:rPr>
          <w:rFonts w:ascii="Arial" w:hAnsi="Arial" w:cs="Arial"/>
          <w:color w:val="010000"/>
          <w:sz w:val="20"/>
        </w:rPr>
        <w:t>Article 8. Approve the Proposal on selecting an audit company for the Financial Statements 2024</w:t>
      </w:r>
    </w:p>
    <w:p w14:paraId="1965067E" w14:textId="77777777" w:rsidR="006D22B4" w:rsidRPr="00862F35" w:rsidRDefault="00862F35" w:rsidP="000E58E3">
      <w:pPr>
        <w:pBdr>
          <w:top w:val="nil"/>
          <w:left w:val="nil"/>
          <w:bottom w:val="nil"/>
          <w:right w:val="nil"/>
          <w:between w:val="nil"/>
        </w:pBdr>
        <w:spacing w:after="120" w:line="360" w:lineRule="auto"/>
        <w:jc w:val="both"/>
        <w:rPr>
          <w:rFonts w:ascii="Arial" w:eastAsia="Arial" w:hAnsi="Arial" w:cs="Arial"/>
          <w:color w:val="010000"/>
          <w:sz w:val="20"/>
          <w:szCs w:val="20"/>
        </w:rPr>
      </w:pPr>
      <w:r w:rsidRPr="00862F35">
        <w:rPr>
          <w:rFonts w:ascii="Arial" w:hAnsi="Arial" w:cs="Arial"/>
          <w:color w:val="010000"/>
          <w:sz w:val="20"/>
        </w:rPr>
        <w:t>Article 9: Approve the Proposal on the Transactions with related parties</w:t>
      </w:r>
    </w:p>
    <w:p w14:paraId="2824E0A0" w14:textId="2D217157" w:rsidR="006D22B4" w:rsidRPr="00862F35" w:rsidRDefault="00862F35" w:rsidP="000E58E3">
      <w:pPr>
        <w:pBdr>
          <w:top w:val="nil"/>
          <w:left w:val="nil"/>
          <w:bottom w:val="nil"/>
          <w:right w:val="nil"/>
          <w:between w:val="nil"/>
        </w:pBdr>
        <w:spacing w:after="120" w:line="360" w:lineRule="auto"/>
        <w:jc w:val="both"/>
        <w:rPr>
          <w:rFonts w:ascii="Arial" w:eastAsia="Arial" w:hAnsi="Arial" w:cs="Arial"/>
          <w:color w:val="010000"/>
          <w:sz w:val="20"/>
          <w:szCs w:val="20"/>
        </w:rPr>
      </w:pPr>
      <w:r w:rsidRPr="00862F35">
        <w:rPr>
          <w:rFonts w:ascii="Arial" w:hAnsi="Arial" w:cs="Arial"/>
          <w:color w:val="010000"/>
          <w:sz w:val="20"/>
        </w:rPr>
        <w:t>The General Mandate was approved in full by the Annual General Meeting of Shareholders 2024 of Book and Educational Equipment JSC in Ho Chi Minh city at the meeting. The Board of Directors, the Board of Management and related individuals are responsible for implementing thi</w:t>
      </w:r>
      <w:bookmarkStart w:id="1" w:name="_GoBack"/>
      <w:bookmarkEnd w:id="1"/>
      <w:r w:rsidRPr="00862F35">
        <w:rPr>
          <w:rFonts w:ascii="Arial" w:hAnsi="Arial" w:cs="Arial"/>
          <w:color w:val="010000"/>
          <w:sz w:val="20"/>
        </w:rPr>
        <w:t>s General Mandate.</w:t>
      </w:r>
    </w:p>
    <w:p w14:paraId="29CA33AA" w14:textId="1DDB3784" w:rsidR="006D22B4" w:rsidRPr="00862F35" w:rsidRDefault="00862F35" w:rsidP="000E58E3">
      <w:pPr>
        <w:pBdr>
          <w:top w:val="nil"/>
          <w:left w:val="nil"/>
          <w:bottom w:val="nil"/>
          <w:right w:val="nil"/>
          <w:between w:val="nil"/>
        </w:pBdr>
        <w:spacing w:after="120" w:line="360" w:lineRule="auto"/>
        <w:jc w:val="both"/>
        <w:rPr>
          <w:rFonts w:ascii="Arial" w:eastAsia="Arial" w:hAnsi="Arial" w:cs="Arial"/>
          <w:color w:val="010000"/>
          <w:sz w:val="20"/>
          <w:szCs w:val="20"/>
        </w:rPr>
      </w:pPr>
      <w:r w:rsidRPr="00862F35">
        <w:rPr>
          <w:rFonts w:ascii="Arial" w:hAnsi="Arial" w:cs="Arial"/>
          <w:color w:val="010000"/>
          <w:sz w:val="20"/>
        </w:rPr>
        <w:t>This General Mandate takes effect from the date of its signing.</w:t>
      </w:r>
    </w:p>
    <w:sectPr w:rsidR="006D22B4" w:rsidRPr="00862F35" w:rsidSect="00862F3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B0C29"/>
    <w:multiLevelType w:val="multilevel"/>
    <w:tmpl w:val="1C7E8396"/>
    <w:lvl w:ilvl="0">
      <w:start w:val="1"/>
      <w:numFmt w:val="bullet"/>
      <w:lvlText w:val="+"/>
      <w:lvlJc w:val="left"/>
      <w:pPr>
        <w:ind w:left="770" w:hanging="360"/>
      </w:pPr>
      <w:rPr>
        <w:rFonts w:ascii="Noto Sans Symbols" w:eastAsia="Noto Sans Symbols" w:hAnsi="Noto Sans Symbols" w:cs="Noto Sans Symbols"/>
        <w:b w:val="0"/>
        <w:i w:val="0"/>
        <w:sz w:val="20"/>
      </w:rPr>
    </w:lvl>
    <w:lvl w:ilvl="1">
      <w:start w:val="1"/>
      <w:numFmt w:val="bullet"/>
      <w:lvlText w:val="o"/>
      <w:lvlJc w:val="left"/>
      <w:pPr>
        <w:ind w:left="1490" w:hanging="360"/>
      </w:pPr>
      <w:rPr>
        <w:rFonts w:ascii="Courier New" w:eastAsia="Courier New" w:hAnsi="Courier New" w:cs="Courier New"/>
        <w:b w:val="0"/>
        <w:i w:val="0"/>
        <w:sz w:val="20"/>
      </w:rPr>
    </w:lvl>
    <w:lvl w:ilvl="2">
      <w:start w:val="1"/>
      <w:numFmt w:val="bullet"/>
      <w:lvlText w:val="▪"/>
      <w:lvlJc w:val="left"/>
      <w:pPr>
        <w:ind w:left="2210" w:hanging="360"/>
      </w:pPr>
      <w:rPr>
        <w:rFonts w:ascii="Noto Sans Symbols" w:eastAsia="Noto Sans Symbols" w:hAnsi="Noto Sans Symbols" w:cs="Noto Sans Symbols"/>
        <w:b w:val="0"/>
        <w:i w:val="0"/>
        <w:sz w:val="20"/>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B4"/>
    <w:rsid w:val="000E58E3"/>
    <w:rsid w:val="0064278E"/>
    <w:rsid w:val="006D22B4"/>
    <w:rsid w:val="00862F3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F69C"/>
  <w15:docId w15:val="{EA3BC66E-8E8C-49A8-94D0-4E2F1F70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DA4164"/>
      <w:sz w:val="14"/>
      <w:szCs w:val="1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42"/>
      <w:szCs w:val="42"/>
      <w:u w:val="none"/>
      <w:shd w:val="clear" w:color="auto" w:fill="auto"/>
    </w:rPr>
  </w:style>
  <w:style w:type="paragraph" w:customStyle="1" w:styleId="Vnbnnidung0">
    <w:name w:val="Văn bản nội dung"/>
    <w:basedOn w:val="Normal"/>
    <w:link w:val="Vnbnnidung"/>
    <w:pPr>
      <w:spacing w:line="276" w:lineRule="auto"/>
      <w:ind w:firstLine="20"/>
    </w:pPr>
    <w:rPr>
      <w:rFonts w:ascii="Times New Roman" w:eastAsia="Times New Roman" w:hAnsi="Times New Roman" w:cs="Times New Roman"/>
      <w:sz w:val="26"/>
      <w:szCs w:val="26"/>
    </w:rPr>
  </w:style>
  <w:style w:type="paragraph" w:customStyle="1" w:styleId="Khc0">
    <w:name w:val="Khác"/>
    <w:basedOn w:val="Normal"/>
    <w:link w:val="Khc"/>
    <w:pPr>
      <w:spacing w:line="276" w:lineRule="auto"/>
      <w:ind w:firstLine="2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90" w:lineRule="auto"/>
      <w:jc w:val="right"/>
    </w:pPr>
    <w:rPr>
      <w:rFonts w:ascii="Arial" w:eastAsia="Arial" w:hAnsi="Arial" w:cs="Arial"/>
      <w:b/>
      <w:bCs/>
      <w:color w:val="DA4164"/>
      <w:sz w:val="14"/>
      <w:szCs w:val="14"/>
    </w:rPr>
  </w:style>
  <w:style w:type="paragraph" w:customStyle="1" w:styleId="Vnbnnidung40">
    <w:name w:val="Văn bản nội dung (4)"/>
    <w:basedOn w:val="Normal"/>
    <w:link w:val="Vnbnnidung4"/>
    <w:pPr>
      <w:ind w:left="5210" w:firstLine="190"/>
      <w:jc w:val="right"/>
    </w:pPr>
    <w:rPr>
      <w:rFonts w:ascii="Arial" w:eastAsia="Arial" w:hAnsi="Arial" w:cs="Arial"/>
      <w:sz w:val="20"/>
      <w:szCs w:val="20"/>
    </w:rPr>
  </w:style>
  <w:style w:type="paragraph" w:customStyle="1" w:styleId="Tiu20">
    <w:name w:val="Tiêu đề #2"/>
    <w:basedOn w:val="Normal"/>
    <w:link w:val="Tiu2"/>
    <w:pPr>
      <w:jc w:val="center"/>
      <w:outlineLvl w:val="1"/>
    </w:pPr>
    <w:rPr>
      <w:rFonts w:ascii="Times New Roman" w:eastAsia="Times New Roman" w:hAnsi="Times New Roman" w:cs="Times New Roman"/>
      <w:sz w:val="30"/>
      <w:szCs w:val="30"/>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sz w:val="42"/>
      <w:szCs w:val="42"/>
    </w:rPr>
  </w:style>
  <w:style w:type="table" w:styleId="TableGrid">
    <w:name w:val="Table Grid"/>
    <w:basedOn w:val="TableNormal"/>
    <w:uiPriority w:val="39"/>
    <w:rsid w:val="002A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Um0Nj58e4yU3obxpRSr5RD3xBA==">CgMxLjAyCGguZ2pkZ3hzOAByITE1M2FJUkRDNjloQnR4Skp1VkE3cE5rdU1XZEg4Rk9Gaw==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2024-04-17T04:30:00Z</dcterms:created>
  <dcterms:modified xsi:type="dcterms:W3CDTF">2024-04-22T03:36:00Z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29bdd7a81f70c8f5844e21ce2b4a600eb75455a9d8605baff56819569b4eef7d</vt:lpwstr>
  </property>
</Properties>
</file>