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32E28CD" w14:textId="77777777" w:rsidR="00422110" w:rsidRPr="00A02B6D" w:rsidRDefault="003A75A3" w:rsidP="00702C6B">
      <w:pPr>
        <w:pBdr>
          <w:top w:val="nil"/>
          <w:left w:val="nil"/>
          <w:bottom w:val="nil"/>
          <w:right w:val="nil"/>
          <w:between w:val="nil"/>
        </w:pBdr>
        <w:tabs>
          <w:tab w:val="left" w:pos="432"/>
        </w:tabs>
        <w:spacing w:after="120" w:line="360" w:lineRule="auto"/>
        <w:jc w:val="both"/>
        <w:rPr>
          <w:rFonts w:ascii="Arial" w:eastAsia="Arial" w:hAnsi="Arial" w:cs="Arial"/>
          <w:b/>
          <w:color w:val="010000"/>
          <w:sz w:val="20"/>
          <w:szCs w:val="20"/>
        </w:rPr>
      </w:pPr>
      <w:r w:rsidRPr="00A02B6D">
        <w:rPr>
          <w:rFonts w:ascii="Arial" w:hAnsi="Arial" w:cs="Arial"/>
          <w:b/>
          <w:color w:val="010000"/>
          <w:sz w:val="20"/>
        </w:rPr>
        <w:t>TXM: Annual General Mandate 2024</w:t>
      </w:r>
    </w:p>
    <w:p w14:paraId="6CE006C1" w14:textId="77777777" w:rsidR="00422110" w:rsidRPr="00A02B6D" w:rsidRDefault="003A75A3" w:rsidP="00702C6B">
      <w:pPr>
        <w:pBdr>
          <w:top w:val="nil"/>
          <w:left w:val="nil"/>
          <w:bottom w:val="nil"/>
          <w:right w:val="nil"/>
          <w:between w:val="nil"/>
        </w:pBdr>
        <w:tabs>
          <w:tab w:val="left" w:pos="432"/>
        </w:tabs>
        <w:spacing w:after="120" w:line="360" w:lineRule="auto"/>
        <w:jc w:val="both"/>
        <w:rPr>
          <w:rFonts w:ascii="Arial" w:eastAsia="Arial" w:hAnsi="Arial" w:cs="Arial"/>
          <w:color w:val="010000"/>
          <w:sz w:val="20"/>
          <w:szCs w:val="20"/>
        </w:rPr>
      </w:pPr>
      <w:r w:rsidRPr="00A02B6D">
        <w:rPr>
          <w:rFonts w:ascii="Arial" w:hAnsi="Arial" w:cs="Arial"/>
          <w:color w:val="010000"/>
          <w:sz w:val="20"/>
        </w:rPr>
        <w:t>On April 10, 2024, Vicem Gypsum and Cement Joint Stock Company announced Annual General Mandate No. 676/2024/NQ-DHDCD as follows:</w:t>
      </w:r>
    </w:p>
    <w:p w14:paraId="697010DB" w14:textId="77777777" w:rsidR="00422110" w:rsidRPr="00A02B6D" w:rsidRDefault="003A75A3" w:rsidP="00702C6B">
      <w:pPr>
        <w:pBdr>
          <w:top w:val="nil"/>
          <w:left w:val="nil"/>
          <w:bottom w:val="nil"/>
          <w:right w:val="nil"/>
          <w:between w:val="nil"/>
        </w:pBdr>
        <w:tabs>
          <w:tab w:val="left" w:pos="432"/>
        </w:tabs>
        <w:spacing w:after="120" w:line="360" w:lineRule="auto"/>
        <w:jc w:val="both"/>
        <w:rPr>
          <w:rFonts w:ascii="Arial" w:eastAsia="Arial" w:hAnsi="Arial" w:cs="Arial"/>
          <w:color w:val="010000"/>
          <w:sz w:val="20"/>
          <w:szCs w:val="20"/>
        </w:rPr>
      </w:pPr>
      <w:r w:rsidRPr="00A02B6D">
        <w:rPr>
          <w:rFonts w:ascii="Arial" w:hAnsi="Arial" w:cs="Arial"/>
          <w:color w:val="010000"/>
          <w:sz w:val="20"/>
        </w:rPr>
        <w:t>‎‎Article 1. Approve the business result report 2023 and business plan 2024 of the Executive Board, specifically:</w:t>
      </w:r>
    </w:p>
    <w:p w14:paraId="0B437F73" w14:textId="77777777" w:rsidR="00422110" w:rsidRPr="00A02B6D" w:rsidRDefault="003A75A3" w:rsidP="00702C6B">
      <w:pPr>
        <w:numPr>
          <w:ilvl w:val="1"/>
          <w:numId w:val="2"/>
        </w:numPr>
        <w:pBdr>
          <w:top w:val="nil"/>
          <w:left w:val="nil"/>
          <w:bottom w:val="nil"/>
          <w:right w:val="nil"/>
          <w:between w:val="nil"/>
        </w:pBdr>
        <w:tabs>
          <w:tab w:val="left" w:pos="432"/>
        </w:tabs>
        <w:spacing w:after="120" w:line="360" w:lineRule="auto"/>
        <w:ind w:left="0" w:firstLine="0"/>
        <w:jc w:val="both"/>
        <w:rPr>
          <w:rFonts w:ascii="Arial" w:eastAsia="Arial" w:hAnsi="Arial" w:cs="Arial"/>
          <w:color w:val="010000"/>
          <w:sz w:val="20"/>
          <w:szCs w:val="20"/>
        </w:rPr>
      </w:pPr>
      <w:r w:rsidRPr="00A02B6D">
        <w:rPr>
          <w:rFonts w:ascii="Arial" w:hAnsi="Arial" w:cs="Arial"/>
          <w:color w:val="010000"/>
          <w:sz w:val="20"/>
        </w:rPr>
        <w:t>Business Results of 2023:</w:t>
      </w:r>
    </w:p>
    <w:p w14:paraId="377D02BE" w14:textId="77777777" w:rsidR="00422110" w:rsidRPr="00A02B6D" w:rsidRDefault="003A75A3" w:rsidP="00702C6B">
      <w:pPr>
        <w:numPr>
          <w:ilvl w:val="0"/>
          <w:numId w:val="3"/>
        </w:numPr>
        <w:pBdr>
          <w:top w:val="nil"/>
          <w:left w:val="nil"/>
          <w:bottom w:val="nil"/>
          <w:right w:val="nil"/>
          <w:between w:val="nil"/>
        </w:pBdr>
        <w:tabs>
          <w:tab w:val="left" w:pos="432"/>
        </w:tabs>
        <w:spacing w:after="120" w:line="360" w:lineRule="auto"/>
        <w:ind w:left="0" w:firstLine="0"/>
        <w:jc w:val="both"/>
        <w:rPr>
          <w:rFonts w:ascii="Arial" w:eastAsia="Arial" w:hAnsi="Arial" w:cs="Arial"/>
          <w:color w:val="010000"/>
          <w:sz w:val="20"/>
          <w:szCs w:val="20"/>
        </w:rPr>
      </w:pPr>
      <w:r w:rsidRPr="00A02B6D">
        <w:rPr>
          <w:rFonts w:ascii="Arial" w:hAnsi="Arial" w:cs="Arial"/>
          <w:color w:val="010000"/>
          <w:sz w:val="20"/>
        </w:rPr>
        <w:t xml:space="preserve">Product sales volume: </w:t>
      </w:r>
    </w:p>
    <w:p w14:paraId="51DF140E" w14:textId="48965BF6" w:rsidR="00422110" w:rsidRPr="00A02B6D" w:rsidRDefault="003A75A3" w:rsidP="00702C6B">
      <w:pPr>
        <w:numPr>
          <w:ilvl w:val="0"/>
          <w:numId w:val="1"/>
        </w:numPr>
        <w:pBdr>
          <w:top w:val="nil"/>
          <w:left w:val="nil"/>
          <w:bottom w:val="nil"/>
          <w:right w:val="nil"/>
          <w:between w:val="nil"/>
        </w:pBdr>
        <w:tabs>
          <w:tab w:val="left" w:pos="432"/>
        </w:tabs>
        <w:spacing w:after="120" w:line="360" w:lineRule="auto"/>
        <w:ind w:left="0" w:firstLine="0"/>
        <w:jc w:val="both"/>
        <w:rPr>
          <w:rFonts w:ascii="Arial" w:eastAsia="Arial" w:hAnsi="Arial" w:cs="Arial"/>
          <w:color w:val="010000"/>
          <w:sz w:val="20"/>
          <w:szCs w:val="20"/>
        </w:rPr>
      </w:pPr>
      <w:r w:rsidRPr="00A02B6D">
        <w:rPr>
          <w:rFonts w:ascii="Arial" w:hAnsi="Arial" w:cs="Arial"/>
          <w:color w:val="010000"/>
          <w:sz w:val="20"/>
        </w:rPr>
        <w:t xml:space="preserve">Gypsum sold: 100,029/197,499 tons, </w:t>
      </w:r>
      <w:r w:rsidR="00702C6B">
        <w:rPr>
          <w:rFonts w:ascii="Arial" w:hAnsi="Arial" w:cs="Arial"/>
          <w:color w:val="010000"/>
          <w:sz w:val="20"/>
        </w:rPr>
        <w:t>reaching</w:t>
      </w:r>
      <w:r w:rsidRPr="00A02B6D">
        <w:rPr>
          <w:rFonts w:ascii="Arial" w:hAnsi="Arial" w:cs="Arial"/>
          <w:color w:val="010000"/>
          <w:sz w:val="20"/>
        </w:rPr>
        <w:t xml:space="preserve"> 50.65% of the plan</w:t>
      </w:r>
    </w:p>
    <w:p w14:paraId="76113F8A" w14:textId="42B2C39B" w:rsidR="00422110" w:rsidRPr="00A02B6D" w:rsidRDefault="003A75A3" w:rsidP="00702C6B">
      <w:pPr>
        <w:numPr>
          <w:ilvl w:val="0"/>
          <w:numId w:val="1"/>
        </w:numPr>
        <w:pBdr>
          <w:top w:val="nil"/>
          <w:left w:val="nil"/>
          <w:bottom w:val="nil"/>
          <w:right w:val="nil"/>
          <w:between w:val="nil"/>
        </w:pBdr>
        <w:tabs>
          <w:tab w:val="left" w:pos="432"/>
        </w:tabs>
        <w:spacing w:after="120" w:line="360" w:lineRule="auto"/>
        <w:ind w:left="0" w:firstLine="0"/>
        <w:jc w:val="both"/>
        <w:rPr>
          <w:rFonts w:ascii="Arial" w:eastAsia="Arial" w:hAnsi="Arial" w:cs="Arial"/>
          <w:color w:val="010000"/>
          <w:sz w:val="20"/>
          <w:szCs w:val="20"/>
        </w:rPr>
      </w:pPr>
      <w:r w:rsidRPr="00A02B6D">
        <w:rPr>
          <w:rFonts w:ascii="Arial" w:hAnsi="Arial" w:cs="Arial"/>
          <w:color w:val="010000"/>
          <w:sz w:val="20"/>
        </w:rPr>
        <w:t xml:space="preserve">Cement sold: 17,732/26,148 tons, </w:t>
      </w:r>
      <w:r w:rsidR="00702C6B">
        <w:rPr>
          <w:rFonts w:ascii="Arial" w:hAnsi="Arial" w:cs="Arial"/>
          <w:color w:val="010000"/>
          <w:sz w:val="20"/>
        </w:rPr>
        <w:t>reaching</w:t>
      </w:r>
      <w:r w:rsidRPr="00A02B6D">
        <w:rPr>
          <w:rFonts w:ascii="Arial" w:hAnsi="Arial" w:cs="Arial"/>
          <w:color w:val="010000"/>
          <w:sz w:val="20"/>
        </w:rPr>
        <w:t xml:space="preserve"> 67.82% of the plan</w:t>
      </w:r>
    </w:p>
    <w:p w14:paraId="0EBF84E6" w14:textId="2707C786" w:rsidR="00422110" w:rsidRPr="00A02B6D" w:rsidRDefault="003A75A3" w:rsidP="00702C6B">
      <w:pPr>
        <w:numPr>
          <w:ilvl w:val="0"/>
          <w:numId w:val="4"/>
        </w:numPr>
        <w:pBdr>
          <w:top w:val="nil"/>
          <w:left w:val="nil"/>
          <w:bottom w:val="nil"/>
          <w:right w:val="nil"/>
          <w:between w:val="nil"/>
        </w:pBdr>
        <w:tabs>
          <w:tab w:val="left" w:pos="149"/>
          <w:tab w:val="left" w:pos="432"/>
        </w:tabs>
        <w:spacing w:after="120" w:line="360" w:lineRule="auto"/>
        <w:jc w:val="both"/>
        <w:rPr>
          <w:rFonts w:ascii="Arial" w:eastAsia="Arial" w:hAnsi="Arial" w:cs="Arial"/>
          <w:color w:val="010000"/>
          <w:sz w:val="20"/>
          <w:szCs w:val="20"/>
        </w:rPr>
      </w:pPr>
      <w:r w:rsidRPr="00A02B6D">
        <w:rPr>
          <w:rFonts w:ascii="Arial" w:hAnsi="Arial" w:cs="Arial"/>
          <w:color w:val="010000"/>
          <w:sz w:val="20"/>
        </w:rPr>
        <w:t xml:space="preserve">Total revenue: VND 111,616/201,400 billion, </w:t>
      </w:r>
      <w:r w:rsidR="00702C6B">
        <w:rPr>
          <w:rFonts w:ascii="Arial" w:hAnsi="Arial" w:cs="Arial"/>
          <w:color w:val="010000"/>
          <w:sz w:val="20"/>
        </w:rPr>
        <w:t>reaching</w:t>
      </w:r>
      <w:r w:rsidRPr="00A02B6D">
        <w:rPr>
          <w:rFonts w:ascii="Arial" w:hAnsi="Arial" w:cs="Arial"/>
          <w:color w:val="010000"/>
          <w:sz w:val="20"/>
        </w:rPr>
        <w:t xml:space="preserve"> 55.42% of the plan</w:t>
      </w:r>
    </w:p>
    <w:p w14:paraId="645A3775" w14:textId="77777777" w:rsidR="00422110" w:rsidRPr="00A02B6D" w:rsidRDefault="003A75A3" w:rsidP="00702C6B">
      <w:pPr>
        <w:numPr>
          <w:ilvl w:val="0"/>
          <w:numId w:val="4"/>
        </w:numPr>
        <w:pBdr>
          <w:top w:val="nil"/>
          <w:left w:val="nil"/>
          <w:bottom w:val="nil"/>
          <w:right w:val="nil"/>
          <w:between w:val="nil"/>
        </w:pBdr>
        <w:tabs>
          <w:tab w:val="left" w:pos="144"/>
          <w:tab w:val="left" w:pos="432"/>
        </w:tabs>
        <w:spacing w:after="120" w:line="360" w:lineRule="auto"/>
        <w:jc w:val="both"/>
        <w:rPr>
          <w:rFonts w:ascii="Arial" w:eastAsia="Arial" w:hAnsi="Arial" w:cs="Arial"/>
          <w:color w:val="010000"/>
          <w:sz w:val="20"/>
          <w:szCs w:val="20"/>
        </w:rPr>
      </w:pPr>
      <w:r w:rsidRPr="00A02B6D">
        <w:rPr>
          <w:rFonts w:ascii="Arial" w:hAnsi="Arial" w:cs="Arial"/>
          <w:color w:val="010000"/>
          <w:sz w:val="20"/>
        </w:rPr>
        <w:t>Profit before tax: Loss of VND 4,667 billion</w:t>
      </w:r>
    </w:p>
    <w:p w14:paraId="740E5D6A" w14:textId="77777777" w:rsidR="00422110" w:rsidRPr="00A02B6D" w:rsidRDefault="003A75A3" w:rsidP="00702C6B">
      <w:pPr>
        <w:numPr>
          <w:ilvl w:val="0"/>
          <w:numId w:val="4"/>
        </w:numPr>
        <w:pBdr>
          <w:top w:val="nil"/>
          <w:left w:val="nil"/>
          <w:bottom w:val="nil"/>
          <w:right w:val="nil"/>
          <w:between w:val="nil"/>
        </w:pBdr>
        <w:tabs>
          <w:tab w:val="left" w:pos="149"/>
          <w:tab w:val="left" w:pos="432"/>
        </w:tabs>
        <w:spacing w:after="120" w:line="360" w:lineRule="auto"/>
        <w:jc w:val="both"/>
        <w:rPr>
          <w:rFonts w:ascii="Arial" w:eastAsia="Arial" w:hAnsi="Arial" w:cs="Arial"/>
          <w:color w:val="010000"/>
          <w:sz w:val="20"/>
          <w:szCs w:val="20"/>
        </w:rPr>
      </w:pPr>
      <w:r w:rsidRPr="00A02B6D">
        <w:rPr>
          <w:rFonts w:ascii="Arial" w:hAnsi="Arial" w:cs="Arial"/>
          <w:color w:val="010000"/>
          <w:sz w:val="20"/>
        </w:rPr>
        <w:t>Profit after tax: Loss of VND 4,667 billion</w:t>
      </w:r>
    </w:p>
    <w:p w14:paraId="6622AA82" w14:textId="77777777" w:rsidR="00422110" w:rsidRPr="00A02B6D" w:rsidRDefault="003A75A3" w:rsidP="00702C6B">
      <w:pPr>
        <w:numPr>
          <w:ilvl w:val="0"/>
          <w:numId w:val="4"/>
        </w:numPr>
        <w:pBdr>
          <w:top w:val="nil"/>
          <w:left w:val="nil"/>
          <w:bottom w:val="nil"/>
          <w:right w:val="nil"/>
          <w:between w:val="nil"/>
        </w:pBdr>
        <w:tabs>
          <w:tab w:val="left" w:pos="140"/>
          <w:tab w:val="left" w:pos="432"/>
        </w:tabs>
        <w:spacing w:after="120" w:line="360" w:lineRule="auto"/>
        <w:jc w:val="both"/>
        <w:rPr>
          <w:rFonts w:ascii="Arial" w:eastAsia="Arial" w:hAnsi="Arial" w:cs="Arial"/>
          <w:color w:val="010000"/>
          <w:sz w:val="20"/>
          <w:szCs w:val="20"/>
        </w:rPr>
      </w:pPr>
      <w:r w:rsidRPr="00A02B6D">
        <w:rPr>
          <w:rFonts w:ascii="Arial" w:hAnsi="Arial" w:cs="Arial"/>
          <w:color w:val="010000"/>
          <w:sz w:val="20"/>
        </w:rPr>
        <w:t>Return on equity: -4.92%</w:t>
      </w:r>
    </w:p>
    <w:p w14:paraId="5AF438EF" w14:textId="30B74B70" w:rsidR="00422110" w:rsidRPr="00A02B6D" w:rsidRDefault="003A75A3" w:rsidP="00702C6B">
      <w:pPr>
        <w:numPr>
          <w:ilvl w:val="0"/>
          <w:numId w:val="4"/>
        </w:numPr>
        <w:pBdr>
          <w:top w:val="nil"/>
          <w:left w:val="nil"/>
          <w:bottom w:val="nil"/>
          <w:right w:val="nil"/>
          <w:between w:val="nil"/>
        </w:pBdr>
        <w:tabs>
          <w:tab w:val="left" w:pos="149"/>
          <w:tab w:val="left" w:pos="432"/>
        </w:tabs>
        <w:spacing w:after="120" w:line="360" w:lineRule="auto"/>
        <w:jc w:val="both"/>
        <w:rPr>
          <w:rFonts w:ascii="Arial" w:eastAsia="Arial" w:hAnsi="Arial" w:cs="Arial"/>
          <w:color w:val="010000"/>
          <w:sz w:val="20"/>
          <w:szCs w:val="20"/>
        </w:rPr>
      </w:pPr>
      <w:r w:rsidRPr="00A02B6D">
        <w:rPr>
          <w:rFonts w:ascii="Arial" w:hAnsi="Arial" w:cs="Arial"/>
          <w:color w:val="010000"/>
          <w:sz w:val="20"/>
        </w:rPr>
        <w:t>Payable to State budget: VND 6,922</w:t>
      </w:r>
      <w:r w:rsidR="00A02E1D" w:rsidRPr="00A02B6D">
        <w:rPr>
          <w:rFonts w:ascii="Arial" w:hAnsi="Arial" w:cs="Arial"/>
          <w:color w:val="010000"/>
          <w:sz w:val="20"/>
        </w:rPr>
        <w:t xml:space="preserve"> billion</w:t>
      </w:r>
      <w:r w:rsidRPr="00A02B6D">
        <w:rPr>
          <w:rFonts w:ascii="Arial" w:hAnsi="Arial" w:cs="Arial"/>
          <w:color w:val="010000"/>
          <w:sz w:val="20"/>
        </w:rPr>
        <w:t>/</w:t>
      </w:r>
      <w:r w:rsidR="00A02E1D" w:rsidRPr="00A02B6D">
        <w:rPr>
          <w:rFonts w:ascii="Arial" w:hAnsi="Arial" w:cs="Arial"/>
          <w:color w:val="010000"/>
          <w:sz w:val="20"/>
        </w:rPr>
        <w:t xml:space="preserve">VND </w:t>
      </w:r>
      <w:r w:rsidRPr="00A02B6D">
        <w:rPr>
          <w:rFonts w:ascii="Arial" w:hAnsi="Arial" w:cs="Arial"/>
          <w:color w:val="010000"/>
          <w:sz w:val="20"/>
        </w:rPr>
        <w:t xml:space="preserve">11,989 billion, </w:t>
      </w:r>
      <w:r w:rsidR="00702C6B">
        <w:rPr>
          <w:rFonts w:ascii="Arial" w:hAnsi="Arial" w:cs="Arial"/>
          <w:color w:val="010000"/>
          <w:sz w:val="20"/>
        </w:rPr>
        <w:t>reaching</w:t>
      </w:r>
      <w:r w:rsidRPr="00A02B6D">
        <w:rPr>
          <w:rFonts w:ascii="Arial" w:hAnsi="Arial" w:cs="Arial"/>
          <w:color w:val="010000"/>
          <w:sz w:val="20"/>
        </w:rPr>
        <w:t xml:space="preserve"> 57.74% of the plan.</w:t>
      </w:r>
    </w:p>
    <w:p w14:paraId="6638FE64" w14:textId="77777777" w:rsidR="00422110" w:rsidRPr="00A02B6D" w:rsidRDefault="003A75A3" w:rsidP="00702C6B">
      <w:pPr>
        <w:numPr>
          <w:ilvl w:val="0"/>
          <w:numId w:val="4"/>
        </w:numPr>
        <w:pBdr>
          <w:top w:val="nil"/>
          <w:left w:val="nil"/>
          <w:bottom w:val="nil"/>
          <w:right w:val="nil"/>
          <w:between w:val="nil"/>
        </w:pBdr>
        <w:tabs>
          <w:tab w:val="left" w:pos="149"/>
          <w:tab w:val="left" w:pos="432"/>
        </w:tabs>
        <w:spacing w:after="120" w:line="360" w:lineRule="auto"/>
        <w:jc w:val="both"/>
        <w:rPr>
          <w:rFonts w:ascii="Arial" w:eastAsia="Arial" w:hAnsi="Arial" w:cs="Arial"/>
          <w:color w:val="010000"/>
          <w:sz w:val="20"/>
          <w:szCs w:val="20"/>
        </w:rPr>
      </w:pPr>
      <w:r w:rsidRPr="00A02B6D">
        <w:rPr>
          <w:rFonts w:ascii="Arial" w:hAnsi="Arial" w:cs="Arial"/>
          <w:color w:val="010000"/>
          <w:sz w:val="20"/>
        </w:rPr>
        <w:t>Dividend payment rate: None</w:t>
      </w:r>
    </w:p>
    <w:p w14:paraId="33842CCD" w14:textId="77777777" w:rsidR="00422110" w:rsidRPr="00A02B6D" w:rsidRDefault="003A75A3" w:rsidP="00702C6B">
      <w:pPr>
        <w:numPr>
          <w:ilvl w:val="1"/>
          <w:numId w:val="2"/>
        </w:numPr>
        <w:pBdr>
          <w:top w:val="nil"/>
          <w:left w:val="nil"/>
          <w:bottom w:val="nil"/>
          <w:right w:val="nil"/>
          <w:between w:val="nil"/>
        </w:pBdr>
        <w:tabs>
          <w:tab w:val="left" w:pos="432"/>
        </w:tabs>
        <w:spacing w:after="120" w:line="360" w:lineRule="auto"/>
        <w:ind w:left="0" w:firstLine="0"/>
        <w:jc w:val="both"/>
        <w:rPr>
          <w:rFonts w:ascii="Arial" w:eastAsia="Arial" w:hAnsi="Arial" w:cs="Arial"/>
          <w:color w:val="010000"/>
          <w:sz w:val="20"/>
          <w:szCs w:val="20"/>
        </w:rPr>
      </w:pPr>
      <w:r w:rsidRPr="00A02B6D">
        <w:rPr>
          <w:rFonts w:ascii="Arial" w:hAnsi="Arial" w:cs="Arial"/>
          <w:color w:val="010000"/>
          <w:sz w:val="20"/>
        </w:rPr>
        <w:t>The business plan for 2024:</w:t>
      </w:r>
    </w:p>
    <w:p w14:paraId="70B79294" w14:textId="77777777" w:rsidR="00422110" w:rsidRPr="00A02B6D" w:rsidRDefault="003A75A3" w:rsidP="00702C6B">
      <w:pPr>
        <w:numPr>
          <w:ilvl w:val="0"/>
          <w:numId w:val="3"/>
        </w:numPr>
        <w:pBdr>
          <w:top w:val="nil"/>
          <w:left w:val="nil"/>
          <w:bottom w:val="nil"/>
          <w:right w:val="nil"/>
          <w:between w:val="nil"/>
        </w:pBdr>
        <w:tabs>
          <w:tab w:val="left" w:pos="432"/>
        </w:tabs>
        <w:spacing w:after="120" w:line="360" w:lineRule="auto"/>
        <w:ind w:left="0" w:firstLine="0"/>
        <w:jc w:val="both"/>
        <w:rPr>
          <w:rFonts w:ascii="Arial" w:eastAsia="Arial" w:hAnsi="Arial" w:cs="Arial"/>
          <w:color w:val="010000"/>
          <w:sz w:val="20"/>
          <w:szCs w:val="20"/>
        </w:rPr>
      </w:pPr>
      <w:r w:rsidRPr="00A02B6D">
        <w:rPr>
          <w:rFonts w:ascii="Arial" w:hAnsi="Arial" w:cs="Arial"/>
          <w:color w:val="010000"/>
          <w:sz w:val="20"/>
        </w:rPr>
        <w:t xml:space="preserve">Product sales volume: </w:t>
      </w:r>
    </w:p>
    <w:p w14:paraId="4D7F3D5D" w14:textId="77777777" w:rsidR="00422110" w:rsidRPr="00A02B6D" w:rsidRDefault="003A75A3" w:rsidP="00702C6B">
      <w:pPr>
        <w:numPr>
          <w:ilvl w:val="0"/>
          <w:numId w:val="1"/>
        </w:numPr>
        <w:pBdr>
          <w:top w:val="nil"/>
          <w:left w:val="nil"/>
          <w:bottom w:val="nil"/>
          <w:right w:val="nil"/>
          <w:between w:val="nil"/>
        </w:pBdr>
        <w:tabs>
          <w:tab w:val="left" w:pos="432"/>
        </w:tabs>
        <w:spacing w:after="120" w:line="360" w:lineRule="auto"/>
        <w:ind w:left="0" w:firstLine="0"/>
        <w:jc w:val="both"/>
        <w:rPr>
          <w:rFonts w:ascii="Arial" w:eastAsia="Arial" w:hAnsi="Arial" w:cs="Arial"/>
          <w:color w:val="010000"/>
          <w:sz w:val="20"/>
          <w:szCs w:val="20"/>
        </w:rPr>
      </w:pPr>
      <w:r w:rsidRPr="00A02B6D">
        <w:rPr>
          <w:rFonts w:ascii="Arial" w:hAnsi="Arial" w:cs="Arial"/>
          <w:color w:val="010000"/>
          <w:sz w:val="20"/>
        </w:rPr>
        <w:t>Gypsum sold: 283,000 tons</w:t>
      </w:r>
    </w:p>
    <w:p w14:paraId="2561ED88" w14:textId="77777777" w:rsidR="00422110" w:rsidRPr="00A02B6D" w:rsidRDefault="003A75A3" w:rsidP="00702C6B">
      <w:pPr>
        <w:numPr>
          <w:ilvl w:val="0"/>
          <w:numId w:val="1"/>
        </w:numPr>
        <w:pBdr>
          <w:top w:val="nil"/>
          <w:left w:val="nil"/>
          <w:bottom w:val="nil"/>
          <w:right w:val="nil"/>
          <w:between w:val="nil"/>
        </w:pBdr>
        <w:tabs>
          <w:tab w:val="left" w:pos="432"/>
        </w:tabs>
        <w:spacing w:after="120" w:line="360" w:lineRule="auto"/>
        <w:ind w:left="0" w:firstLine="0"/>
        <w:jc w:val="both"/>
        <w:rPr>
          <w:rFonts w:ascii="Arial" w:eastAsia="Arial" w:hAnsi="Arial" w:cs="Arial"/>
          <w:color w:val="010000"/>
          <w:sz w:val="20"/>
          <w:szCs w:val="20"/>
        </w:rPr>
      </w:pPr>
      <w:r w:rsidRPr="00A02B6D">
        <w:rPr>
          <w:rFonts w:ascii="Arial" w:hAnsi="Arial" w:cs="Arial"/>
          <w:color w:val="010000"/>
          <w:sz w:val="20"/>
        </w:rPr>
        <w:t>Cement sold: 25,000 tons</w:t>
      </w:r>
    </w:p>
    <w:p w14:paraId="38E23E97" w14:textId="77777777" w:rsidR="00422110" w:rsidRPr="00A02B6D" w:rsidRDefault="003A75A3" w:rsidP="00702C6B">
      <w:pPr>
        <w:numPr>
          <w:ilvl w:val="0"/>
          <w:numId w:val="1"/>
        </w:numPr>
        <w:pBdr>
          <w:top w:val="nil"/>
          <w:left w:val="nil"/>
          <w:bottom w:val="nil"/>
          <w:right w:val="nil"/>
          <w:between w:val="nil"/>
        </w:pBdr>
        <w:tabs>
          <w:tab w:val="left" w:pos="432"/>
        </w:tabs>
        <w:spacing w:after="120" w:line="360" w:lineRule="auto"/>
        <w:ind w:left="0" w:firstLine="0"/>
        <w:jc w:val="both"/>
        <w:rPr>
          <w:rFonts w:ascii="Arial" w:eastAsia="Arial" w:hAnsi="Arial" w:cs="Arial"/>
          <w:color w:val="010000"/>
          <w:sz w:val="20"/>
          <w:szCs w:val="20"/>
        </w:rPr>
      </w:pPr>
      <w:r w:rsidRPr="00A02B6D">
        <w:rPr>
          <w:rFonts w:ascii="Arial" w:hAnsi="Arial" w:cs="Arial"/>
          <w:color w:val="010000"/>
          <w:sz w:val="20"/>
        </w:rPr>
        <w:t>Other construction material sales (stone, construction sand): 20,000 m3</w:t>
      </w:r>
    </w:p>
    <w:p w14:paraId="5A880BEF" w14:textId="77777777" w:rsidR="00422110" w:rsidRPr="00A02B6D" w:rsidRDefault="003A75A3" w:rsidP="00702C6B">
      <w:pPr>
        <w:numPr>
          <w:ilvl w:val="0"/>
          <w:numId w:val="4"/>
        </w:numPr>
        <w:pBdr>
          <w:top w:val="nil"/>
          <w:left w:val="nil"/>
          <w:bottom w:val="nil"/>
          <w:right w:val="nil"/>
          <w:between w:val="nil"/>
        </w:pBdr>
        <w:tabs>
          <w:tab w:val="left" w:pos="149"/>
          <w:tab w:val="left" w:pos="432"/>
        </w:tabs>
        <w:spacing w:after="120" w:line="360" w:lineRule="auto"/>
        <w:jc w:val="both"/>
        <w:rPr>
          <w:rFonts w:ascii="Arial" w:eastAsia="Arial" w:hAnsi="Arial" w:cs="Arial"/>
          <w:color w:val="010000"/>
          <w:sz w:val="20"/>
          <w:szCs w:val="20"/>
        </w:rPr>
      </w:pPr>
      <w:r w:rsidRPr="00A02B6D">
        <w:rPr>
          <w:rFonts w:ascii="Arial" w:hAnsi="Arial" w:cs="Arial"/>
          <w:color w:val="010000"/>
          <w:sz w:val="20"/>
        </w:rPr>
        <w:t>Total revenue: VND 225.864 billion</w:t>
      </w:r>
    </w:p>
    <w:p w14:paraId="303EAAF0" w14:textId="77777777" w:rsidR="00422110" w:rsidRPr="00A02B6D" w:rsidRDefault="003A75A3" w:rsidP="00702C6B">
      <w:pPr>
        <w:numPr>
          <w:ilvl w:val="0"/>
          <w:numId w:val="4"/>
        </w:numPr>
        <w:pBdr>
          <w:top w:val="nil"/>
          <w:left w:val="nil"/>
          <w:bottom w:val="nil"/>
          <w:right w:val="nil"/>
          <w:between w:val="nil"/>
        </w:pBdr>
        <w:tabs>
          <w:tab w:val="left" w:pos="144"/>
          <w:tab w:val="left" w:pos="432"/>
        </w:tabs>
        <w:spacing w:after="120" w:line="360" w:lineRule="auto"/>
        <w:jc w:val="both"/>
        <w:rPr>
          <w:rFonts w:ascii="Arial" w:eastAsia="Arial" w:hAnsi="Arial" w:cs="Arial"/>
          <w:color w:val="010000"/>
          <w:sz w:val="20"/>
          <w:szCs w:val="20"/>
        </w:rPr>
      </w:pPr>
      <w:r w:rsidRPr="00A02B6D">
        <w:rPr>
          <w:rFonts w:ascii="Arial" w:hAnsi="Arial" w:cs="Arial"/>
          <w:color w:val="010000"/>
          <w:sz w:val="20"/>
        </w:rPr>
        <w:t>Profit before tax: Loss of VND 1,450 billion</w:t>
      </w:r>
    </w:p>
    <w:p w14:paraId="6F308E3B" w14:textId="77777777" w:rsidR="00422110" w:rsidRPr="00A02B6D" w:rsidRDefault="003A75A3" w:rsidP="00702C6B">
      <w:pPr>
        <w:numPr>
          <w:ilvl w:val="0"/>
          <w:numId w:val="4"/>
        </w:numPr>
        <w:pBdr>
          <w:top w:val="nil"/>
          <w:left w:val="nil"/>
          <w:bottom w:val="nil"/>
          <w:right w:val="nil"/>
          <w:between w:val="nil"/>
        </w:pBdr>
        <w:tabs>
          <w:tab w:val="left" w:pos="149"/>
          <w:tab w:val="left" w:pos="432"/>
        </w:tabs>
        <w:spacing w:after="120" w:line="360" w:lineRule="auto"/>
        <w:jc w:val="both"/>
        <w:rPr>
          <w:rFonts w:ascii="Arial" w:eastAsia="Arial" w:hAnsi="Arial" w:cs="Arial"/>
          <w:color w:val="010000"/>
          <w:sz w:val="20"/>
          <w:szCs w:val="20"/>
        </w:rPr>
      </w:pPr>
      <w:r w:rsidRPr="00A02B6D">
        <w:rPr>
          <w:rFonts w:ascii="Arial" w:hAnsi="Arial" w:cs="Arial"/>
          <w:color w:val="010000"/>
          <w:sz w:val="20"/>
        </w:rPr>
        <w:t>Profit after tax: Loss of VND 1,450 billion</w:t>
      </w:r>
    </w:p>
    <w:p w14:paraId="34CD4D7E" w14:textId="77777777" w:rsidR="00422110" w:rsidRPr="00A02B6D" w:rsidRDefault="003A75A3" w:rsidP="00702C6B">
      <w:pPr>
        <w:numPr>
          <w:ilvl w:val="0"/>
          <w:numId w:val="4"/>
        </w:numPr>
        <w:pBdr>
          <w:top w:val="nil"/>
          <w:left w:val="nil"/>
          <w:bottom w:val="nil"/>
          <w:right w:val="nil"/>
          <w:between w:val="nil"/>
        </w:pBdr>
        <w:tabs>
          <w:tab w:val="left" w:pos="140"/>
          <w:tab w:val="left" w:pos="432"/>
        </w:tabs>
        <w:spacing w:after="120" w:line="360" w:lineRule="auto"/>
        <w:jc w:val="both"/>
        <w:rPr>
          <w:rFonts w:ascii="Arial" w:eastAsia="Arial" w:hAnsi="Arial" w:cs="Arial"/>
          <w:color w:val="010000"/>
          <w:sz w:val="20"/>
          <w:szCs w:val="20"/>
        </w:rPr>
      </w:pPr>
      <w:r w:rsidRPr="00A02B6D">
        <w:rPr>
          <w:rFonts w:ascii="Arial" w:hAnsi="Arial" w:cs="Arial"/>
          <w:color w:val="010000"/>
          <w:sz w:val="20"/>
        </w:rPr>
        <w:t>Return on equity: -1.53%</w:t>
      </w:r>
    </w:p>
    <w:p w14:paraId="4322AF84" w14:textId="77777777" w:rsidR="00422110" w:rsidRPr="00A02B6D" w:rsidRDefault="003A75A3" w:rsidP="00702C6B">
      <w:pPr>
        <w:numPr>
          <w:ilvl w:val="0"/>
          <w:numId w:val="4"/>
        </w:numPr>
        <w:pBdr>
          <w:top w:val="nil"/>
          <w:left w:val="nil"/>
          <w:bottom w:val="nil"/>
          <w:right w:val="nil"/>
          <w:between w:val="nil"/>
        </w:pBdr>
        <w:tabs>
          <w:tab w:val="left" w:pos="149"/>
          <w:tab w:val="left" w:pos="432"/>
        </w:tabs>
        <w:spacing w:after="120" w:line="360" w:lineRule="auto"/>
        <w:jc w:val="both"/>
        <w:rPr>
          <w:rFonts w:ascii="Arial" w:eastAsia="Arial" w:hAnsi="Arial" w:cs="Arial"/>
          <w:color w:val="010000"/>
          <w:sz w:val="20"/>
          <w:szCs w:val="20"/>
        </w:rPr>
      </w:pPr>
      <w:r w:rsidRPr="00A02B6D">
        <w:rPr>
          <w:rFonts w:ascii="Arial" w:hAnsi="Arial" w:cs="Arial"/>
          <w:color w:val="010000"/>
          <w:sz w:val="20"/>
        </w:rPr>
        <w:t>Payable to State budget: VND 12.745 billion;</w:t>
      </w:r>
    </w:p>
    <w:p w14:paraId="24B44581" w14:textId="77777777" w:rsidR="00422110" w:rsidRPr="00A02B6D" w:rsidRDefault="003A75A3" w:rsidP="00702C6B">
      <w:pPr>
        <w:numPr>
          <w:ilvl w:val="0"/>
          <w:numId w:val="4"/>
        </w:numPr>
        <w:pBdr>
          <w:top w:val="nil"/>
          <w:left w:val="nil"/>
          <w:bottom w:val="nil"/>
          <w:right w:val="nil"/>
          <w:between w:val="nil"/>
        </w:pBdr>
        <w:tabs>
          <w:tab w:val="left" w:pos="149"/>
          <w:tab w:val="left" w:pos="432"/>
        </w:tabs>
        <w:spacing w:after="120" w:line="360" w:lineRule="auto"/>
        <w:jc w:val="both"/>
        <w:rPr>
          <w:rFonts w:ascii="Arial" w:eastAsia="Arial" w:hAnsi="Arial" w:cs="Arial"/>
          <w:color w:val="010000"/>
          <w:sz w:val="20"/>
          <w:szCs w:val="20"/>
        </w:rPr>
      </w:pPr>
      <w:r w:rsidRPr="00A02B6D">
        <w:rPr>
          <w:rFonts w:ascii="Arial" w:hAnsi="Arial" w:cs="Arial"/>
          <w:color w:val="010000"/>
          <w:sz w:val="20"/>
        </w:rPr>
        <w:t>Dividend payment rate: None</w:t>
      </w:r>
    </w:p>
    <w:p w14:paraId="32DB2494" w14:textId="054C3F32" w:rsidR="00422110" w:rsidRPr="00A02B6D" w:rsidRDefault="003A75A3" w:rsidP="00702C6B">
      <w:pPr>
        <w:pBdr>
          <w:top w:val="nil"/>
          <w:left w:val="nil"/>
          <w:bottom w:val="nil"/>
          <w:right w:val="nil"/>
          <w:between w:val="nil"/>
        </w:pBdr>
        <w:tabs>
          <w:tab w:val="left" w:pos="432"/>
        </w:tabs>
        <w:spacing w:after="120" w:line="360" w:lineRule="auto"/>
        <w:jc w:val="both"/>
        <w:rPr>
          <w:rFonts w:ascii="Arial" w:eastAsia="Arial" w:hAnsi="Arial" w:cs="Arial"/>
          <w:color w:val="010000"/>
          <w:sz w:val="20"/>
          <w:szCs w:val="20"/>
        </w:rPr>
      </w:pPr>
      <w:r w:rsidRPr="00A02B6D">
        <w:rPr>
          <w:rFonts w:ascii="Arial" w:hAnsi="Arial" w:cs="Arial"/>
          <w:color w:val="010000"/>
          <w:sz w:val="20"/>
        </w:rPr>
        <w:t xml:space="preserve">*Based on Document No. 487/VICEM-HDTV dated 04/05/2024 from the Board of Members of </w:t>
      </w:r>
      <w:r w:rsidR="00A02E1D" w:rsidRPr="00A02B6D">
        <w:rPr>
          <w:rFonts w:ascii="Arial" w:hAnsi="Arial" w:cs="Arial"/>
          <w:color w:val="010000"/>
          <w:sz w:val="20"/>
        </w:rPr>
        <w:t xml:space="preserve">Vietnam Cement Industry Corporation </w:t>
      </w:r>
      <w:r w:rsidRPr="00A02B6D">
        <w:rPr>
          <w:rFonts w:ascii="Arial" w:hAnsi="Arial" w:cs="Arial"/>
          <w:color w:val="010000"/>
          <w:sz w:val="20"/>
        </w:rPr>
        <w:t>(VICEM) regarding key issues for the Annual General Meeting 2024 of Vicem Gypsum and Cement Joint Stock Company, the production and business plan 2024 of VICEM in general and Vicem Gypsum and Cement Joint Stock Company in particular will be reported and proposed to the Ministry of Construction for approval as prescribed. After approval by the Ministry of Construction, if there are any changes, VICEM will make adjustments accordingly.</w:t>
      </w:r>
    </w:p>
    <w:p w14:paraId="1C171CE2" w14:textId="35EF04E0" w:rsidR="00422110" w:rsidRPr="00A02B6D" w:rsidRDefault="003A75A3" w:rsidP="00702C6B">
      <w:pPr>
        <w:pBdr>
          <w:top w:val="nil"/>
          <w:left w:val="nil"/>
          <w:bottom w:val="nil"/>
          <w:right w:val="nil"/>
          <w:between w:val="nil"/>
        </w:pBdr>
        <w:tabs>
          <w:tab w:val="left" w:pos="432"/>
        </w:tabs>
        <w:spacing w:after="120" w:line="360" w:lineRule="auto"/>
        <w:jc w:val="both"/>
        <w:rPr>
          <w:rFonts w:ascii="Arial" w:eastAsia="Arial" w:hAnsi="Arial" w:cs="Arial"/>
          <w:color w:val="010000"/>
          <w:sz w:val="20"/>
          <w:szCs w:val="20"/>
        </w:rPr>
      </w:pPr>
      <w:r w:rsidRPr="00A02B6D">
        <w:rPr>
          <w:rFonts w:ascii="Arial" w:hAnsi="Arial" w:cs="Arial"/>
          <w:color w:val="010000"/>
          <w:sz w:val="20"/>
        </w:rPr>
        <w:lastRenderedPageBreak/>
        <w:t>‎‎Article 2. Approve the Report on the</w:t>
      </w:r>
      <w:r w:rsidR="00702C6B">
        <w:rPr>
          <w:rFonts w:ascii="Arial" w:hAnsi="Arial" w:cs="Arial"/>
          <w:color w:val="010000"/>
          <w:sz w:val="20"/>
        </w:rPr>
        <w:t xml:space="preserve"> activities 2023 and</w:t>
      </w:r>
      <w:r w:rsidRPr="00A02B6D">
        <w:rPr>
          <w:rFonts w:ascii="Arial" w:hAnsi="Arial" w:cs="Arial"/>
          <w:color w:val="010000"/>
          <w:sz w:val="20"/>
        </w:rPr>
        <w:t xml:space="preserve"> Operational Plan for 2024 of the Board of Directors.</w:t>
      </w:r>
    </w:p>
    <w:p w14:paraId="3DBBB8C8" w14:textId="77777777" w:rsidR="00422110" w:rsidRPr="00A02B6D" w:rsidRDefault="003A75A3" w:rsidP="00702C6B">
      <w:pPr>
        <w:pBdr>
          <w:top w:val="nil"/>
          <w:left w:val="nil"/>
          <w:bottom w:val="nil"/>
          <w:right w:val="nil"/>
          <w:between w:val="nil"/>
        </w:pBdr>
        <w:tabs>
          <w:tab w:val="left" w:pos="432"/>
        </w:tabs>
        <w:spacing w:after="120" w:line="360" w:lineRule="auto"/>
        <w:jc w:val="both"/>
        <w:rPr>
          <w:rFonts w:ascii="Arial" w:eastAsia="Arial" w:hAnsi="Arial" w:cs="Arial"/>
          <w:color w:val="010000"/>
          <w:sz w:val="20"/>
          <w:szCs w:val="20"/>
        </w:rPr>
      </w:pPr>
      <w:r w:rsidRPr="00A02B6D">
        <w:rPr>
          <w:rFonts w:ascii="Arial" w:hAnsi="Arial" w:cs="Arial"/>
          <w:color w:val="010000"/>
          <w:sz w:val="20"/>
        </w:rPr>
        <w:t>‎‎Article 3. Approve the evaluation report 2023 of the independent member of the Board of Directors.</w:t>
      </w:r>
    </w:p>
    <w:p w14:paraId="65ACB0B6" w14:textId="5A61A24F" w:rsidR="00422110" w:rsidRPr="00A02B6D" w:rsidRDefault="003A75A3" w:rsidP="00702C6B">
      <w:pPr>
        <w:pBdr>
          <w:top w:val="nil"/>
          <w:left w:val="nil"/>
          <w:bottom w:val="nil"/>
          <w:right w:val="nil"/>
          <w:between w:val="nil"/>
        </w:pBdr>
        <w:tabs>
          <w:tab w:val="left" w:pos="432"/>
        </w:tabs>
        <w:spacing w:after="120" w:line="360" w:lineRule="auto"/>
        <w:jc w:val="both"/>
        <w:rPr>
          <w:rFonts w:ascii="Arial" w:eastAsia="Arial" w:hAnsi="Arial" w:cs="Arial"/>
          <w:color w:val="010000"/>
          <w:sz w:val="20"/>
          <w:szCs w:val="20"/>
        </w:rPr>
      </w:pPr>
      <w:r w:rsidRPr="00A02B6D">
        <w:rPr>
          <w:rFonts w:ascii="Arial" w:hAnsi="Arial" w:cs="Arial"/>
          <w:color w:val="010000"/>
          <w:sz w:val="20"/>
        </w:rPr>
        <w:t>‎‎Artic</w:t>
      </w:r>
      <w:r w:rsidR="00702C6B">
        <w:rPr>
          <w:rFonts w:ascii="Arial" w:hAnsi="Arial" w:cs="Arial"/>
          <w:color w:val="010000"/>
          <w:sz w:val="20"/>
        </w:rPr>
        <w:t xml:space="preserve">le 4. Approve the Report on </w:t>
      </w:r>
      <w:r w:rsidRPr="00A02B6D">
        <w:rPr>
          <w:rFonts w:ascii="Arial" w:hAnsi="Arial" w:cs="Arial"/>
          <w:color w:val="010000"/>
          <w:sz w:val="20"/>
        </w:rPr>
        <w:t>activities in 2023 and Operational Plan in 2024 of the Supervisory Board</w:t>
      </w:r>
    </w:p>
    <w:p w14:paraId="2D043113" w14:textId="77777777" w:rsidR="00422110" w:rsidRPr="00A02B6D" w:rsidRDefault="003A75A3" w:rsidP="00702C6B">
      <w:pPr>
        <w:pBdr>
          <w:top w:val="nil"/>
          <w:left w:val="nil"/>
          <w:bottom w:val="nil"/>
          <w:right w:val="nil"/>
          <w:between w:val="nil"/>
        </w:pBdr>
        <w:tabs>
          <w:tab w:val="left" w:pos="432"/>
        </w:tabs>
        <w:spacing w:after="120" w:line="360" w:lineRule="auto"/>
        <w:jc w:val="both"/>
        <w:rPr>
          <w:rFonts w:ascii="Arial" w:eastAsia="Arial" w:hAnsi="Arial" w:cs="Arial"/>
          <w:color w:val="010000"/>
          <w:sz w:val="20"/>
          <w:szCs w:val="20"/>
        </w:rPr>
      </w:pPr>
      <w:r w:rsidRPr="00A02B6D">
        <w:rPr>
          <w:rFonts w:ascii="Arial" w:hAnsi="Arial" w:cs="Arial"/>
          <w:color w:val="010000"/>
          <w:sz w:val="20"/>
        </w:rPr>
        <w:t>‎‎Article 5. Approve the supplement of business lines of the Company:</w:t>
      </w:r>
    </w:p>
    <w:p w14:paraId="14DB8284" w14:textId="6E9C8AB0" w:rsidR="00422110" w:rsidRPr="00A02B6D" w:rsidRDefault="003A75A3" w:rsidP="00702C6B">
      <w:pPr>
        <w:pBdr>
          <w:top w:val="nil"/>
          <w:left w:val="nil"/>
          <w:bottom w:val="nil"/>
          <w:right w:val="nil"/>
          <w:between w:val="nil"/>
        </w:pBdr>
        <w:tabs>
          <w:tab w:val="left" w:pos="432"/>
        </w:tabs>
        <w:spacing w:after="120" w:line="360" w:lineRule="auto"/>
        <w:jc w:val="both"/>
        <w:rPr>
          <w:rFonts w:ascii="Arial" w:eastAsia="Arial" w:hAnsi="Arial" w:cs="Arial"/>
          <w:color w:val="010000"/>
          <w:sz w:val="20"/>
          <w:szCs w:val="20"/>
        </w:rPr>
      </w:pPr>
      <w:r w:rsidRPr="00A02B6D">
        <w:rPr>
          <w:rFonts w:ascii="Arial" w:hAnsi="Arial" w:cs="Arial"/>
          <w:color w:val="010000"/>
          <w:sz w:val="20"/>
        </w:rPr>
        <w:t>‎‎Article 6. Approve the amendment</w:t>
      </w:r>
      <w:r w:rsidR="00702C6B">
        <w:rPr>
          <w:rFonts w:ascii="Arial" w:hAnsi="Arial" w:cs="Arial"/>
          <w:color w:val="010000"/>
          <w:sz w:val="20"/>
        </w:rPr>
        <w:t>s and supplements</w:t>
      </w:r>
      <w:r w:rsidRPr="00A02B6D">
        <w:rPr>
          <w:rFonts w:ascii="Arial" w:hAnsi="Arial" w:cs="Arial"/>
          <w:color w:val="010000"/>
          <w:sz w:val="20"/>
        </w:rPr>
        <w:t xml:space="preserve"> to the Company's Charter on organization and operation</w:t>
      </w:r>
      <w:r w:rsidR="00702C6B">
        <w:rPr>
          <w:rFonts w:ascii="Arial" w:hAnsi="Arial" w:cs="Arial"/>
          <w:color w:val="010000"/>
          <w:sz w:val="20"/>
        </w:rPr>
        <w:t>s</w:t>
      </w:r>
      <w:r w:rsidRPr="00A02B6D">
        <w:rPr>
          <w:rFonts w:ascii="Arial" w:hAnsi="Arial" w:cs="Arial"/>
          <w:color w:val="010000"/>
          <w:sz w:val="20"/>
        </w:rPr>
        <w:t>.</w:t>
      </w:r>
    </w:p>
    <w:p w14:paraId="442AC8E9" w14:textId="77777777" w:rsidR="00422110" w:rsidRPr="00A02B6D" w:rsidRDefault="003A75A3" w:rsidP="00702C6B">
      <w:pPr>
        <w:pBdr>
          <w:top w:val="nil"/>
          <w:left w:val="nil"/>
          <w:bottom w:val="nil"/>
          <w:right w:val="nil"/>
          <w:between w:val="nil"/>
        </w:pBdr>
        <w:tabs>
          <w:tab w:val="left" w:pos="432"/>
        </w:tabs>
        <w:spacing w:after="120" w:line="360" w:lineRule="auto"/>
        <w:jc w:val="both"/>
        <w:rPr>
          <w:rFonts w:ascii="Arial" w:eastAsia="Arial" w:hAnsi="Arial" w:cs="Arial"/>
          <w:color w:val="010000"/>
          <w:sz w:val="20"/>
          <w:szCs w:val="20"/>
        </w:rPr>
      </w:pPr>
      <w:r w:rsidRPr="00A02B6D">
        <w:rPr>
          <w:rFonts w:ascii="Arial" w:hAnsi="Arial" w:cs="Arial"/>
          <w:color w:val="010000"/>
          <w:sz w:val="20"/>
        </w:rPr>
        <w:t>‎‎Article 7. Approve the Audited Financial Statements 2023.</w:t>
      </w:r>
    </w:p>
    <w:p w14:paraId="386A6D02" w14:textId="77777777" w:rsidR="00422110" w:rsidRPr="00A02B6D" w:rsidRDefault="003A75A3" w:rsidP="00702C6B">
      <w:pPr>
        <w:pBdr>
          <w:top w:val="nil"/>
          <w:left w:val="nil"/>
          <w:bottom w:val="nil"/>
          <w:right w:val="nil"/>
          <w:between w:val="nil"/>
        </w:pBdr>
        <w:tabs>
          <w:tab w:val="left" w:pos="432"/>
        </w:tabs>
        <w:spacing w:after="120" w:line="360" w:lineRule="auto"/>
        <w:jc w:val="both"/>
        <w:rPr>
          <w:rFonts w:ascii="Arial" w:eastAsia="Arial" w:hAnsi="Arial" w:cs="Arial"/>
          <w:color w:val="010000"/>
          <w:sz w:val="20"/>
          <w:szCs w:val="20"/>
        </w:rPr>
      </w:pPr>
      <w:r w:rsidRPr="00A02B6D">
        <w:rPr>
          <w:rFonts w:ascii="Arial" w:hAnsi="Arial" w:cs="Arial"/>
          <w:color w:val="010000"/>
          <w:sz w:val="20"/>
        </w:rPr>
        <w:t>‎‎Article 8. Approve the Profit distribution plan 2023</w:t>
      </w:r>
    </w:p>
    <w:tbl>
      <w:tblPr>
        <w:tblStyle w:val="a"/>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555"/>
        <w:gridCol w:w="4516"/>
        <w:gridCol w:w="1946"/>
        <w:gridCol w:w="2000"/>
      </w:tblGrid>
      <w:tr w:rsidR="00422110" w:rsidRPr="00A02B6D" w14:paraId="72A14825" w14:textId="77777777" w:rsidTr="003A75A3">
        <w:tc>
          <w:tcPr>
            <w:tcW w:w="308" w:type="pct"/>
            <w:shd w:val="clear" w:color="auto" w:fill="auto"/>
            <w:tcMar>
              <w:top w:w="0" w:type="dxa"/>
              <w:bottom w:w="0" w:type="dxa"/>
            </w:tcMar>
            <w:vAlign w:val="center"/>
          </w:tcPr>
          <w:p w14:paraId="65E4C1D0" w14:textId="77777777" w:rsidR="00422110" w:rsidRPr="00A02B6D" w:rsidRDefault="003A75A3" w:rsidP="00702C6B">
            <w:pPr>
              <w:pBdr>
                <w:top w:val="nil"/>
                <w:left w:val="nil"/>
                <w:bottom w:val="nil"/>
                <w:right w:val="nil"/>
                <w:between w:val="nil"/>
              </w:pBdr>
              <w:tabs>
                <w:tab w:val="left" w:pos="432"/>
              </w:tabs>
              <w:spacing w:after="120" w:line="360" w:lineRule="auto"/>
              <w:jc w:val="both"/>
              <w:rPr>
                <w:rFonts w:ascii="Arial" w:eastAsia="Arial" w:hAnsi="Arial" w:cs="Arial"/>
                <w:sz w:val="20"/>
                <w:szCs w:val="20"/>
              </w:rPr>
            </w:pPr>
            <w:r w:rsidRPr="00A02B6D">
              <w:rPr>
                <w:rFonts w:ascii="Arial" w:hAnsi="Arial" w:cs="Arial"/>
                <w:sz w:val="20"/>
              </w:rPr>
              <w:t>No.</w:t>
            </w:r>
          </w:p>
        </w:tc>
        <w:tc>
          <w:tcPr>
            <w:tcW w:w="2504" w:type="pct"/>
            <w:shd w:val="clear" w:color="auto" w:fill="auto"/>
            <w:tcMar>
              <w:top w:w="0" w:type="dxa"/>
              <w:bottom w:w="0" w:type="dxa"/>
            </w:tcMar>
            <w:vAlign w:val="center"/>
          </w:tcPr>
          <w:p w14:paraId="13EC2B79" w14:textId="77777777" w:rsidR="00422110" w:rsidRPr="00A02B6D" w:rsidRDefault="003A75A3" w:rsidP="00702C6B">
            <w:pPr>
              <w:pBdr>
                <w:top w:val="nil"/>
                <w:left w:val="nil"/>
                <w:bottom w:val="nil"/>
                <w:right w:val="nil"/>
                <w:between w:val="nil"/>
              </w:pBdr>
              <w:tabs>
                <w:tab w:val="left" w:pos="432"/>
              </w:tabs>
              <w:spacing w:after="120" w:line="360" w:lineRule="auto"/>
              <w:jc w:val="both"/>
              <w:rPr>
                <w:rFonts w:ascii="Arial" w:eastAsia="Arial" w:hAnsi="Arial" w:cs="Arial"/>
                <w:sz w:val="20"/>
                <w:szCs w:val="20"/>
              </w:rPr>
            </w:pPr>
            <w:r w:rsidRPr="00A02B6D">
              <w:rPr>
                <w:rFonts w:ascii="Arial" w:hAnsi="Arial" w:cs="Arial"/>
                <w:sz w:val="20"/>
              </w:rPr>
              <w:t>Target</w:t>
            </w:r>
          </w:p>
        </w:tc>
        <w:tc>
          <w:tcPr>
            <w:tcW w:w="1079" w:type="pct"/>
            <w:shd w:val="clear" w:color="auto" w:fill="auto"/>
            <w:tcMar>
              <w:top w:w="0" w:type="dxa"/>
              <w:bottom w:w="0" w:type="dxa"/>
            </w:tcMar>
            <w:vAlign w:val="center"/>
          </w:tcPr>
          <w:p w14:paraId="664C6B70" w14:textId="77777777" w:rsidR="00422110" w:rsidRPr="00A02B6D" w:rsidRDefault="003A75A3" w:rsidP="00702C6B">
            <w:pPr>
              <w:pBdr>
                <w:top w:val="nil"/>
                <w:left w:val="nil"/>
                <w:bottom w:val="nil"/>
                <w:right w:val="nil"/>
                <w:between w:val="nil"/>
              </w:pBdr>
              <w:tabs>
                <w:tab w:val="left" w:pos="432"/>
              </w:tabs>
              <w:spacing w:after="120" w:line="360" w:lineRule="auto"/>
              <w:jc w:val="both"/>
              <w:rPr>
                <w:rFonts w:ascii="Arial" w:eastAsia="Arial" w:hAnsi="Arial" w:cs="Arial"/>
                <w:sz w:val="20"/>
                <w:szCs w:val="20"/>
              </w:rPr>
            </w:pPr>
            <w:r w:rsidRPr="00A02B6D">
              <w:rPr>
                <w:rFonts w:ascii="Arial" w:hAnsi="Arial" w:cs="Arial"/>
                <w:sz w:val="20"/>
              </w:rPr>
              <w:t>Value (VND)</w:t>
            </w:r>
          </w:p>
        </w:tc>
        <w:tc>
          <w:tcPr>
            <w:tcW w:w="1109" w:type="pct"/>
            <w:shd w:val="clear" w:color="auto" w:fill="auto"/>
            <w:tcMar>
              <w:top w:w="0" w:type="dxa"/>
              <w:bottom w:w="0" w:type="dxa"/>
            </w:tcMar>
            <w:vAlign w:val="center"/>
          </w:tcPr>
          <w:p w14:paraId="1CC2A785" w14:textId="77777777" w:rsidR="00422110" w:rsidRPr="00A02B6D" w:rsidRDefault="003A75A3" w:rsidP="00702C6B">
            <w:pPr>
              <w:pBdr>
                <w:top w:val="nil"/>
                <w:left w:val="nil"/>
                <w:bottom w:val="nil"/>
                <w:right w:val="nil"/>
                <w:between w:val="nil"/>
              </w:pBdr>
              <w:tabs>
                <w:tab w:val="left" w:pos="432"/>
              </w:tabs>
              <w:spacing w:after="120" w:line="360" w:lineRule="auto"/>
              <w:jc w:val="both"/>
              <w:rPr>
                <w:rFonts w:ascii="Arial" w:eastAsia="Arial" w:hAnsi="Arial" w:cs="Arial"/>
                <w:sz w:val="20"/>
                <w:szCs w:val="20"/>
              </w:rPr>
            </w:pPr>
            <w:r w:rsidRPr="00A02B6D">
              <w:rPr>
                <w:rFonts w:ascii="Arial" w:hAnsi="Arial" w:cs="Arial"/>
                <w:sz w:val="20"/>
              </w:rPr>
              <w:t>Note</w:t>
            </w:r>
          </w:p>
        </w:tc>
      </w:tr>
      <w:tr w:rsidR="00422110" w:rsidRPr="00A02B6D" w14:paraId="2550AC7B" w14:textId="77777777" w:rsidTr="003A75A3">
        <w:tc>
          <w:tcPr>
            <w:tcW w:w="308" w:type="pct"/>
            <w:shd w:val="clear" w:color="auto" w:fill="auto"/>
            <w:tcMar>
              <w:top w:w="0" w:type="dxa"/>
              <w:bottom w:w="0" w:type="dxa"/>
            </w:tcMar>
            <w:vAlign w:val="center"/>
          </w:tcPr>
          <w:p w14:paraId="3059A170" w14:textId="77777777" w:rsidR="00422110" w:rsidRPr="00A02B6D" w:rsidRDefault="003A75A3" w:rsidP="00702C6B">
            <w:pPr>
              <w:pBdr>
                <w:top w:val="nil"/>
                <w:left w:val="nil"/>
                <w:bottom w:val="nil"/>
                <w:right w:val="nil"/>
                <w:between w:val="nil"/>
              </w:pBdr>
              <w:tabs>
                <w:tab w:val="left" w:pos="432"/>
              </w:tabs>
              <w:spacing w:after="120" w:line="360" w:lineRule="auto"/>
              <w:jc w:val="both"/>
              <w:rPr>
                <w:rFonts w:ascii="Arial" w:eastAsia="Arial" w:hAnsi="Arial" w:cs="Arial"/>
                <w:sz w:val="20"/>
                <w:szCs w:val="20"/>
              </w:rPr>
            </w:pPr>
            <w:r w:rsidRPr="00A02B6D">
              <w:rPr>
                <w:rFonts w:ascii="Arial" w:hAnsi="Arial" w:cs="Arial"/>
                <w:sz w:val="20"/>
              </w:rPr>
              <w:t>1</w:t>
            </w:r>
          </w:p>
        </w:tc>
        <w:tc>
          <w:tcPr>
            <w:tcW w:w="2504" w:type="pct"/>
            <w:shd w:val="clear" w:color="auto" w:fill="auto"/>
            <w:tcMar>
              <w:top w:w="0" w:type="dxa"/>
              <w:bottom w:w="0" w:type="dxa"/>
            </w:tcMar>
            <w:vAlign w:val="center"/>
          </w:tcPr>
          <w:p w14:paraId="79931209" w14:textId="77777777" w:rsidR="00422110" w:rsidRPr="00A02B6D" w:rsidRDefault="003A75A3" w:rsidP="00702C6B">
            <w:pPr>
              <w:pBdr>
                <w:top w:val="nil"/>
                <w:left w:val="nil"/>
                <w:bottom w:val="nil"/>
                <w:right w:val="nil"/>
                <w:between w:val="nil"/>
              </w:pBdr>
              <w:tabs>
                <w:tab w:val="left" w:pos="432"/>
              </w:tabs>
              <w:spacing w:after="120" w:line="360" w:lineRule="auto"/>
              <w:jc w:val="both"/>
              <w:rPr>
                <w:rFonts w:ascii="Arial" w:eastAsia="Arial" w:hAnsi="Arial" w:cs="Arial"/>
                <w:sz w:val="20"/>
                <w:szCs w:val="20"/>
              </w:rPr>
            </w:pPr>
            <w:r w:rsidRPr="00A02B6D">
              <w:rPr>
                <w:rFonts w:ascii="Arial" w:hAnsi="Arial" w:cs="Arial"/>
                <w:sz w:val="20"/>
              </w:rPr>
              <w:t>Total Distributable Profit After Tax in 2023</w:t>
            </w:r>
          </w:p>
        </w:tc>
        <w:tc>
          <w:tcPr>
            <w:tcW w:w="1079" w:type="pct"/>
            <w:shd w:val="clear" w:color="auto" w:fill="auto"/>
            <w:tcMar>
              <w:top w:w="0" w:type="dxa"/>
              <w:bottom w:w="0" w:type="dxa"/>
            </w:tcMar>
            <w:vAlign w:val="center"/>
          </w:tcPr>
          <w:p w14:paraId="1A27E6FF" w14:textId="77777777" w:rsidR="00422110" w:rsidRPr="00A02B6D" w:rsidRDefault="003A75A3" w:rsidP="00702C6B">
            <w:pPr>
              <w:pBdr>
                <w:top w:val="nil"/>
                <w:left w:val="nil"/>
                <w:bottom w:val="nil"/>
                <w:right w:val="nil"/>
                <w:between w:val="nil"/>
              </w:pBdr>
              <w:tabs>
                <w:tab w:val="left" w:pos="432"/>
              </w:tabs>
              <w:spacing w:after="120" w:line="360" w:lineRule="auto"/>
              <w:jc w:val="both"/>
              <w:rPr>
                <w:rFonts w:ascii="Arial" w:eastAsia="Arial" w:hAnsi="Arial" w:cs="Arial"/>
                <w:sz w:val="20"/>
                <w:szCs w:val="20"/>
              </w:rPr>
            </w:pPr>
            <w:r w:rsidRPr="00A02B6D">
              <w:rPr>
                <w:rFonts w:ascii="Arial" w:hAnsi="Arial" w:cs="Arial"/>
                <w:sz w:val="20"/>
              </w:rPr>
              <w:t>None</w:t>
            </w:r>
          </w:p>
        </w:tc>
        <w:tc>
          <w:tcPr>
            <w:tcW w:w="1109" w:type="pct"/>
            <w:shd w:val="clear" w:color="auto" w:fill="auto"/>
            <w:tcMar>
              <w:top w:w="0" w:type="dxa"/>
              <w:bottom w:w="0" w:type="dxa"/>
            </w:tcMar>
            <w:vAlign w:val="center"/>
          </w:tcPr>
          <w:p w14:paraId="07D584B4" w14:textId="77777777" w:rsidR="00422110" w:rsidRPr="00A02B6D" w:rsidRDefault="00422110" w:rsidP="00702C6B">
            <w:pPr>
              <w:tabs>
                <w:tab w:val="left" w:pos="432"/>
              </w:tabs>
              <w:spacing w:after="120" w:line="360" w:lineRule="auto"/>
              <w:jc w:val="both"/>
              <w:rPr>
                <w:rFonts w:ascii="Arial" w:eastAsia="Arial" w:hAnsi="Arial" w:cs="Arial"/>
                <w:sz w:val="20"/>
                <w:szCs w:val="20"/>
              </w:rPr>
            </w:pPr>
          </w:p>
        </w:tc>
      </w:tr>
      <w:tr w:rsidR="00422110" w:rsidRPr="00A02B6D" w14:paraId="29F26D07" w14:textId="77777777" w:rsidTr="003A75A3">
        <w:tc>
          <w:tcPr>
            <w:tcW w:w="308" w:type="pct"/>
            <w:shd w:val="clear" w:color="auto" w:fill="auto"/>
            <w:tcMar>
              <w:top w:w="0" w:type="dxa"/>
              <w:bottom w:w="0" w:type="dxa"/>
            </w:tcMar>
            <w:vAlign w:val="center"/>
          </w:tcPr>
          <w:p w14:paraId="22F5C247" w14:textId="77777777" w:rsidR="00422110" w:rsidRPr="00A02B6D" w:rsidRDefault="00422110" w:rsidP="00702C6B">
            <w:pPr>
              <w:tabs>
                <w:tab w:val="left" w:pos="432"/>
              </w:tabs>
              <w:spacing w:after="120" w:line="360" w:lineRule="auto"/>
              <w:jc w:val="both"/>
              <w:rPr>
                <w:rFonts w:ascii="Arial" w:eastAsia="Arial" w:hAnsi="Arial" w:cs="Arial"/>
                <w:sz w:val="20"/>
                <w:szCs w:val="20"/>
              </w:rPr>
            </w:pPr>
          </w:p>
        </w:tc>
        <w:tc>
          <w:tcPr>
            <w:tcW w:w="2504" w:type="pct"/>
            <w:shd w:val="clear" w:color="auto" w:fill="auto"/>
            <w:tcMar>
              <w:top w:w="0" w:type="dxa"/>
              <w:bottom w:w="0" w:type="dxa"/>
            </w:tcMar>
            <w:vAlign w:val="center"/>
          </w:tcPr>
          <w:p w14:paraId="492ADE3B" w14:textId="77777777" w:rsidR="00422110" w:rsidRPr="00A02B6D" w:rsidRDefault="003A75A3" w:rsidP="00702C6B">
            <w:pPr>
              <w:numPr>
                <w:ilvl w:val="0"/>
                <w:numId w:val="3"/>
              </w:numPr>
              <w:pBdr>
                <w:top w:val="nil"/>
                <w:left w:val="nil"/>
                <w:bottom w:val="nil"/>
                <w:right w:val="nil"/>
                <w:between w:val="nil"/>
              </w:pBdr>
              <w:tabs>
                <w:tab w:val="left" w:pos="432"/>
              </w:tabs>
              <w:spacing w:after="120" w:line="360" w:lineRule="auto"/>
              <w:ind w:left="0" w:firstLine="0"/>
              <w:jc w:val="both"/>
              <w:rPr>
                <w:rFonts w:ascii="Arial" w:eastAsia="Arial" w:hAnsi="Arial" w:cs="Arial"/>
                <w:sz w:val="20"/>
                <w:szCs w:val="20"/>
              </w:rPr>
            </w:pPr>
            <w:r w:rsidRPr="00A02B6D">
              <w:rPr>
                <w:rFonts w:ascii="Arial" w:hAnsi="Arial" w:cs="Arial"/>
                <w:sz w:val="20"/>
              </w:rPr>
              <w:t>Undistributed profit after tax as at December 31, 2022</w:t>
            </w:r>
          </w:p>
        </w:tc>
        <w:tc>
          <w:tcPr>
            <w:tcW w:w="1079" w:type="pct"/>
            <w:shd w:val="clear" w:color="auto" w:fill="auto"/>
            <w:tcMar>
              <w:top w:w="0" w:type="dxa"/>
              <w:bottom w:w="0" w:type="dxa"/>
            </w:tcMar>
            <w:vAlign w:val="center"/>
          </w:tcPr>
          <w:p w14:paraId="0C9C5F5E" w14:textId="77777777" w:rsidR="00422110" w:rsidRPr="00A02B6D" w:rsidRDefault="003A75A3" w:rsidP="00702C6B">
            <w:pPr>
              <w:pBdr>
                <w:top w:val="nil"/>
                <w:left w:val="nil"/>
                <w:bottom w:val="nil"/>
                <w:right w:val="nil"/>
                <w:between w:val="nil"/>
              </w:pBdr>
              <w:tabs>
                <w:tab w:val="left" w:pos="432"/>
              </w:tabs>
              <w:spacing w:after="120" w:line="360" w:lineRule="auto"/>
              <w:jc w:val="both"/>
              <w:rPr>
                <w:rFonts w:ascii="Arial" w:eastAsia="Arial" w:hAnsi="Arial" w:cs="Arial"/>
                <w:sz w:val="20"/>
                <w:szCs w:val="20"/>
              </w:rPr>
            </w:pPr>
            <w:r w:rsidRPr="00A02B6D">
              <w:rPr>
                <w:rFonts w:ascii="Arial" w:hAnsi="Arial" w:cs="Arial"/>
                <w:sz w:val="20"/>
              </w:rPr>
              <w:t>26,637,002</w:t>
            </w:r>
          </w:p>
        </w:tc>
        <w:tc>
          <w:tcPr>
            <w:tcW w:w="1109" w:type="pct"/>
            <w:shd w:val="clear" w:color="auto" w:fill="auto"/>
            <w:tcMar>
              <w:top w:w="0" w:type="dxa"/>
              <w:bottom w:w="0" w:type="dxa"/>
            </w:tcMar>
            <w:vAlign w:val="center"/>
          </w:tcPr>
          <w:p w14:paraId="66035C22" w14:textId="77777777" w:rsidR="00422110" w:rsidRPr="00A02B6D" w:rsidRDefault="00422110" w:rsidP="00702C6B">
            <w:pPr>
              <w:tabs>
                <w:tab w:val="left" w:pos="432"/>
              </w:tabs>
              <w:spacing w:after="120" w:line="360" w:lineRule="auto"/>
              <w:jc w:val="both"/>
              <w:rPr>
                <w:rFonts w:ascii="Arial" w:eastAsia="Arial" w:hAnsi="Arial" w:cs="Arial"/>
                <w:sz w:val="20"/>
                <w:szCs w:val="20"/>
              </w:rPr>
            </w:pPr>
          </w:p>
        </w:tc>
      </w:tr>
      <w:tr w:rsidR="00422110" w:rsidRPr="00A02B6D" w14:paraId="254EE3EC" w14:textId="77777777" w:rsidTr="003A75A3">
        <w:tc>
          <w:tcPr>
            <w:tcW w:w="308" w:type="pct"/>
            <w:shd w:val="clear" w:color="auto" w:fill="auto"/>
            <w:tcMar>
              <w:top w:w="0" w:type="dxa"/>
              <w:bottom w:w="0" w:type="dxa"/>
            </w:tcMar>
            <w:vAlign w:val="center"/>
          </w:tcPr>
          <w:p w14:paraId="544D75DD" w14:textId="77777777" w:rsidR="00422110" w:rsidRPr="00A02B6D" w:rsidRDefault="00422110" w:rsidP="00702C6B">
            <w:pPr>
              <w:tabs>
                <w:tab w:val="left" w:pos="432"/>
              </w:tabs>
              <w:spacing w:after="120" w:line="360" w:lineRule="auto"/>
              <w:jc w:val="both"/>
              <w:rPr>
                <w:rFonts w:ascii="Arial" w:eastAsia="Arial" w:hAnsi="Arial" w:cs="Arial"/>
                <w:sz w:val="20"/>
                <w:szCs w:val="20"/>
              </w:rPr>
            </w:pPr>
          </w:p>
        </w:tc>
        <w:tc>
          <w:tcPr>
            <w:tcW w:w="2504" w:type="pct"/>
            <w:shd w:val="clear" w:color="auto" w:fill="auto"/>
            <w:tcMar>
              <w:top w:w="0" w:type="dxa"/>
              <w:bottom w:w="0" w:type="dxa"/>
            </w:tcMar>
            <w:vAlign w:val="center"/>
          </w:tcPr>
          <w:p w14:paraId="3AAF94B3" w14:textId="77777777" w:rsidR="00422110" w:rsidRPr="00A02B6D" w:rsidRDefault="003A75A3" w:rsidP="00702C6B">
            <w:pPr>
              <w:numPr>
                <w:ilvl w:val="0"/>
                <w:numId w:val="3"/>
              </w:numPr>
              <w:pBdr>
                <w:top w:val="nil"/>
                <w:left w:val="nil"/>
                <w:bottom w:val="nil"/>
                <w:right w:val="nil"/>
                <w:between w:val="nil"/>
              </w:pBdr>
              <w:tabs>
                <w:tab w:val="left" w:pos="432"/>
              </w:tabs>
              <w:spacing w:after="120" w:line="360" w:lineRule="auto"/>
              <w:ind w:left="0" w:firstLine="0"/>
              <w:jc w:val="both"/>
              <w:rPr>
                <w:rFonts w:ascii="Arial" w:eastAsia="Arial" w:hAnsi="Arial" w:cs="Arial"/>
                <w:sz w:val="20"/>
                <w:szCs w:val="20"/>
              </w:rPr>
            </w:pPr>
            <w:r w:rsidRPr="00A02B6D">
              <w:rPr>
                <w:rFonts w:ascii="Arial" w:hAnsi="Arial" w:cs="Arial"/>
                <w:sz w:val="20"/>
              </w:rPr>
              <w:t>Profit after tax in 2023</w:t>
            </w:r>
          </w:p>
        </w:tc>
        <w:tc>
          <w:tcPr>
            <w:tcW w:w="1079" w:type="pct"/>
            <w:shd w:val="clear" w:color="auto" w:fill="auto"/>
            <w:tcMar>
              <w:top w:w="0" w:type="dxa"/>
              <w:bottom w:w="0" w:type="dxa"/>
            </w:tcMar>
            <w:vAlign w:val="center"/>
          </w:tcPr>
          <w:p w14:paraId="7CE862B4" w14:textId="77777777" w:rsidR="00422110" w:rsidRPr="00A02B6D" w:rsidRDefault="003A75A3" w:rsidP="00702C6B">
            <w:pPr>
              <w:pBdr>
                <w:top w:val="nil"/>
                <w:left w:val="nil"/>
                <w:bottom w:val="nil"/>
                <w:right w:val="nil"/>
                <w:between w:val="nil"/>
              </w:pBdr>
              <w:tabs>
                <w:tab w:val="left" w:pos="432"/>
              </w:tabs>
              <w:spacing w:after="120" w:line="360" w:lineRule="auto"/>
              <w:jc w:val="both"/>
              <w:rPr>
                <w:rFonts w:ascii="Arial" w:eastAsia="Arial" w:hAnsi="Arial" w:cs="Arial"/>
                <w:sz w:val="20"/>
                <w:szCs w:val="20"/>
              </w:rPr>
            </w:pPr>
            <w:r w:rsidRPr="00A02B6D">
              <w:rPr>
                <w:rFonts w:ascii="Arial" w:hAnsi="Arial" w:cs="Arial"/>
                <w:sz w:val="20"/>
              </w:rPr>
              <w:t>(4,667,110,049)</w:t>
            </w:r>
          </w:p>
        </w:tc>
        <w:tc>
          <w:tcPr>
            <w:tcW w:w="1109" w:type="pct"/>
            <w:shd w:val="clear" w:color="auto" w:fill="auto"/>
            <w:tcMar>
              <w:top w:w="0" w:type="dxa"/>
              <w:bottom w:w="0" w:type="dxa"/>
            </w:tcMar>
            <w:vAlign w:val="center"/>
          </w:tcPr>
          <w:p w14:paraId="7A1F7EC2" w14:textId="77777777" w:rsidR="00422110" w:rsidRPr="00A02B6D" w:rsidRDefault="00422110" w:rsidP="00702C6B">
            <w:pPr>
              <w:tabs>
                <w:tab w:val="left" w:pos="432"/>
              </w:tabs>
              <w:spacing w:after="120" w:line="360" w:lineRule="auto"/>
              <w:jc w:val="both"/>
              <w:rPr>
                <w:rFonts w:ascii="Arial" w:eastAsia="Arial" w:hAnsi="Arial" w:cs="Arial"/>
                <w:sz w:val="20"/>
                <w:szCs w:val="20"/>
              </w:rPr>
            </w:pPr>
          </w:p>
        </w:tc>
      </w:tr>
      <w:tr w:rsidR="00422110" w:rsidRPr="00A02B6D" w14:paraId="354A616D" w14:textId="77777777" w:rsidTr="003A75A3">
        <w:tc>
          <w:tcPr>
            <w:tcW w:w="308" w:type="pct"/>
            <w:shd w:val="clear" w:color="auto" w:fill="auto"/>
            <w:tcMar>
              <w:top w:w="0" w:type="dxa"/>
              <w:bottom w:w="0" w:type="dxa"/>
            </w:tcMar>
            <w:vAlign w:val="center"/>
          </w:tcPr>
          <w:p w14:paraId="5E8A898F" w14:textId="77777777" w:rsidR="00422110" w:rsidRPr="00A02B6D" w:rsidRDefault="003A75A3" w:rsidP="00702C6B">
            <w:pPr>
              <w:pBdr>
                <w:top w:val="nil"/>
                <w:left w:val="nil"/>
                <w:bottom w:val="nil"/>
                <w:right w:val="nil"/>
                <w:between w:val="nil"/>
              </w:pBdr>
              <w:tabs>
                <w:tab w:val="left" w:pos="432"/>
              </w:tabs>
              <w:spacing w:after="120" w:line="360" w:lineRule="auto"/>
              <w:jc w:val="both"/>
              <w:rPr>
                <w:rFonts w:ascii="Arial" w:eastAsia="Arial" w:hAnsi="Arial" w:cs="Arial"/>
                <w:sz w:val="20"/>
                <w:szCs w:val="20"/>
              </w:rPr>
            </w:pPr>
            <w:r w:rsidRPr="00A02B6D">
              <w:rPr>
                <w:rFonts w:ascii="Arial" w:hAnsi="Arial" w:cs="Arial"/>
                <w:sz w:val="20"/>
              </w:rPr>
              <w:t>2</w:t>
            </w:r>
          </w:p>
        </w:tc>
        <w:tc>
          <w:tcPr>
            <w:tcW w:w="2504" w:type="pct"/>
            <w:shd w:val="clear" w:color="auto" w:fill="auto"/>
            <w:tcMar>
              <w:top w:w="0" w:type="dxa"/>
              <w:bottom w:w="0" w:type="dxa"/>
            </w:tcMar>
            <w:vAlign w:val="center"/>
          </w:tcPr>
          <w:p w14:paraId="03CC0EF7" w14:textId="77777777" w:rsidR="00422110" w:rsidRPr="00A02B6D" w:rsidRDefault="003A75A3" w:rsidP="00702C6B">
            <w:pPr>
              <w:pBdr>
                <w:top w:val="nil"/>
                <w:left w:val="nil"/>
                <w:bottom w:val="nil"/>
                <w:right w:val="nil"/>
                <w:between w:val="nil"/>
              </w:pBdr>
              <w:tabs>
                <w:tab w:val="left" w:pos="432"/>
              </w:tabs>
              <w:spacing w:after="120" w:line="360" w:lineRule="auto"/>
              <w:jc w:val="both"/>
              <w:rPr>
                <w:rFonts w:ascii="Arial" w:eastAsia="Arial" w:hAnsi="Arial" w:cs="Arial"/>
                <w:sz w:val="20"/>
                <w:szCs w:val="20"/>
              </w:rPr>
            </w:pPr>
            <w:r w:rsidRPr="00A02B6D">
              <w:rPr>
                <w:rFonts w:ascii="Arial" w:hAnsi="Arial" w:cs="Arial"/>
                <w:sz w:val="20"/>
              </w:rPr>
              <w:t>Profit distribution plan in 2023</w:t>
            </w:r>
          </w:p>
        </w:tc>
        <w:tc>
          <w:tcPr>
            <w:tcW w:w="1079" w:type="pct"/>
            <w:shd w:val="clear" w:color="auto" w:fill="auto"/>
            <w:tcMar>
              <w:top w:w="0" w:type="dxa"/>
              <w:bottom w:w="0" w:type="dxa"/>
            </w:tcMar>
            <w:vAlign w:val="center"/>
          </w:tcPr>
          <w:p w14:paraId="4666CF4E" w14:textId="77777777" w:rsidR="00422110" w:rsidRPr="00A02B6D" w:rsidRDefault="00422110" w:rsidP="00702C6B">
            <w:pPr>
              <w:tabs>
                <w:tab w:val="left" w:pos="432"/>
              </w:tabs>
              <w:spacing w:after="120" w:line="360" w:lineRule="auto"/>
              <w:jc w:val="both"/>
              <w:rPr>
                <w:rFonts w:ascii="Arial" w:eastAsia="Arial" w:hAnsi="Arial" w:cs="Arial"/>
                <w:sz w:val="20"/>
                <w:szCs w:val="20"/>
              </w:rPr>
            </w:pPr>
          </w:p>
        </w:tc>
        <w:tc>
          <w:tcPr>
            <w:tcW w:w="1109" w:type="pct"/>
            <w:shd w:val="clear" w:color="auto" w:fill="auto"/>
            <w:tcMar>
              <w:top w:w="0" w:type="dxa"/>
              <w:bottom w:w="0" w:type="dxa"/>
            </w:tcMar>
            <w:vAlign w:val="center"/>
          </w:tcPr>
          <w:p w14:paraId="712BB84D" w14:textId="77777777" w:rsidR="00422110" w:rsidRPr="00A02B6D" w:rsidRDefault="00422110" w:rsidP="00702C6B">
            <w:pPr>
              <w:tabs>
                <w:tab w:val="left" w:pos="432"/>
              </w:tabs>
              <w:spacing w:after="120" w:line="360" w:lineRule="auto"/>
              <w:jc w:val="both"/>
              <w:rPr>
                <w:rFonts w:ascii="Arial" w:eastAsia="Arial" w:hAnsi="Arial" w:cs="Arial"/>
                <w:sz w:val="20"/>
                <w:szCs w:val="20"/>
              </w:rPr>
            </w:pPr>
          </w:p>
        </w:tc>
      </w:tr>
      <w:tr w:rsidR="00422110" w:rsidRPr="00A02B6D" w14:paraId="2F41EB2F" w14:textId="77777777" w:rsidTr="003A75A3">
        <w:tc>
          <w:tcPr>
            <w:tcW w:w="308" w:type="pct"/>
            <w:shd w:val="clear" w:color="auto" w:fill="auto"/>
            <w:tcMar>
              <w:top w:w="0" w:type="dxa"/>
              <w:bottom w:w="0" w:type="dxa"/>
            </w:tcMar>
            <w:vAlign w:val="center"/>
          </w:tcPr>
          <w:p w14:paraId="01886B64" w14:textId="77777777" w:rsidR="00422110" w:rsidRPr="00A02B6D" w:rsidRDefault="00422110" w:rsidP="00702C6B">
            <w:pPr>
              <w:tabs>
                <w:tab w:val="left" w:pos="432"/>
              </w:tabs>
              <w:spacing w:after="120" w:line="360" w:lineRule="auto"/>
              <w:jc w:val="both"/>
              <w:rPr>
                <w:rFonts w:ascii="Arial" w:eastAsia="Arial" w:hAnsi="Arial" w:cs="Arial"/>
                <w:sz w:val="20"/>
                <w:szCs w:val="20"/>
              </w:rPr>
            </w:pPr>
          </w:p>
        </w:tc>
        <w:tc>
          <w:tcPr>
            <w:tcW w:w="2504" w:type="pct"/>
            <w:shd w:val="clear" w:color="auto" w:fill="auto"/>
            <w:tcMar>
              <w:top w:w="0" w:type="dxa"/>
              <w:bottom w:w="0" w:type="dxa"/>
            </w:tcMar>
            <w:vAlign w:val="center"/>
          </w:tcPr>
          <w:p w14:paraId="698C982B" w14:textId="77777777" w:rsidR="00422110" w:rsidRPr="00A02B6D" w:rsidRDefault="003A75A3" w:rsidP="00702C6B">
            <w:pPr>
              <w:numPr>
                <w:ilvl w:val="0"/>
                <w:numId w:val="3"/>
              </w:numPr>
              <w:pBdr>
                <w:top w:val="nil"/>
                <w:left w:val="nil"/>
                <w:bottom w:val="nil"/>
                <w:right w:val="nil"/>
                <w:between w:val="nil"/>
              </w:pBdr>
              <w:tabs>
                <w:tab w:val="left" w:pos="432"/>
              </w:tabs>
              <w:spacing w:after="120" w:line="360" w:lineRule="auto"/>
              <w:ind w:left="0" w:firstLine="0"/>
              <w:jc w:val="both"/>
              <w:rPr>
                <w:rFonts w:ascii="Arial" w:eastAsia="Arial" w:hAnsi="Arial" w:cs="Arial"/>
                <w:sz w:val="20"/>
                <w:szCs w:val="20"/>
              </w:rPr>
            </w:pPr>
            <w:r w:rsidRPr="00A02B6D">
              <w:rPr>
                <w:rFonts w:ascii="Arial" w:hAnsi="Arial" w:cs="Arial"/>
                <w:sz w:val="20"/>
              </w:rPr>
              <w:t>Total distributed profit</w:t>
            </w:r>
          </w:p>
        </w:tc>
        <w:tc>
          <w:tcPr>
            <w:tcW w:w="1079" w:type="pct"/>
            <w:shd w:val="clear" w:color="auto" w:fill="auto"/>
            <w:tcMar>
              <w:top w:w="0" w:type="dxa"/>
              <w:bottom w:w="0" w:type="dxa"/>
            </w:tcMar>
            <w:vAlign w:val="center"/>
          </w:tcPr>
          <w:p w14:paraId="51B69658" w14:textId="77777777" w:rsidR="00422110" w:rsidRPr="00A02B6D" w:rsidRDefault="003A75A3" w:rsidP="00702C6B">
            <w:pPr>
              <w:pBdr>
                <w:top w:val="nil"/>
                <w:left w:val="nil"/>
                <w:bottom w:val="nil"/>
                <w:right w:val="nil"/>
                <w:between w:val="nil"/>
              </w:pBdr>
              <w:tabs>
                <w:tab w:val="left" w:pos="432"/>
              </w:tabs>
              <w:spacing w:after="120" w:line="360" w:lineRule="auto"/>
              <w:jc w:val="both"/>
              <w:rPr>
                <w:rFonts w:ascii="Arial" w:eastAsia="Arial" w:hAnsi="Arial" w:cs="Arial"/>
                <w:sz w:val="20"/>
                <w:szCs w:val="20"/>
              </w:rPr>
            </w:pPr>
            <w:r w:rsidRPr="00A02B6D">
              <w:rPr>
                <w:rFonts w:ascii="Arial" w:hAnsi="Arial" w:cs="Arial"/>
                <w:sz w:val="20"/>
              </w:rPr>
              <w:t>None</w:t>
            </w:r>
          </w:p>
        </w:tc>
        <w:tc>
          <w:tcPr>
            <w:tcW w:w="1109" w:type="pct"/>
            <w:shd w:val="clear" w:color="auto" w:fill="auto"/>
            <w:tcMar>
              <w:top w:w="0" w:type="dxa"/>
              <w:bottom w:w="0" w:type="dxa"/>
            </w:tcMar>
            <w:vAlign w:val="center"/>
          </w:tcPr>
          <w:p w14:paraId="64B28269" w14:textId="77777777" w:rsidR="00422110" w:rsidRPr="00A02B6D" w:rsidRDefault="00422110" w:rsidP="00702C6B">
            <w:pPr>
              <w:tabs>
                <w:tab w:val="left" w:pos="432"/>
              </w:tabs>
              <w:spacing w:after="120" w:line="360" w:lineRule="auto"/>
              <w:jc w:val="both"/>
              <w:rPr>
                <w:rFonts w:ascii="Arial" w:eastAsia="Arial" w:hAnsi="Arial" w:cs="Arial"/>
                <w:sz w:val="20"/>
                <w:szCs w:val="20"/>
              </w:rPr>
            </w:pPr>
          </w:p>
        </w:tc>
      </w:tr>
      <w:tr w:rsidR="00422110" w:rsidRPr="00A02B6D" w14:paraId="74525035" w14:textId="77777777" w:rsidTr="003A75A3">
        <w:tc>
          <w:tcPr>
            <w:tcW w:w="308" w:type="pct"/>
            <w:shd w:val="clear" w:color="auto" w:fill="auto"/>
            <w:tcMar>
              <w:top w:w="0" w:type="dxa"/>
              <w:bottom w:w="0" w:type="dxa"/>
            </w:tcMar>
            <w:vAlign w:val="center"/>
          </w:tcPr>
          <w:p w14:paraId="0EE83947" w14:textId="77777777" w:rsidR="00422110" w:rsidRPr="00A02B6D" w:rsidRDefault="00422110" w:rsidP="00702C6B">
            <w:pPr>
              <w:tabs>
                <w:tab w:val="left" w:pos="432"/>
              </w:tabs>
              <w:spacing w:after="120" w:line="360" w:lineRule="auto"/>
              <w:jc w:val="both"/>
              <w:rPr>
                <w:rFonts w:ascii="Arial" w:eastAsia="Arial" w:hAnsi="Arial" w:cs="Arial"/>
                <w:sz w:val="20"/>
                <w:szCs w:val="20"/>
              </w:rPr>
            </w:pPr>
          </w:p>
        </w:tc>
        <w:tc>
          <w:tcPr>
            <w:tcW w:w="2504" w:type="pct"/>
            <w:shd w:val="clear" w:color="auto" w:fill="auto"/>
            <w:tcMar>
              <w:top w:w="0" w:type="dxa"/>
              <w:bottom w:w="0" w:type="dxa"/>
            </w:tcMar>
            <w:vAlign w:val="center"/>
          </w:tcPr>
          <w:p w14:paraId="7DEA0C0A" w14:textId="77777777" w:rsidR="00422110" w:rsidRPr="00A02B6D" w:rsidRDefault="003A75A3" w:rsidP="00702C6B">
            <w:pPr>
              <w:numPr>
                <w:ilvl w:val="0"/>
                <w:numId w:val="3"/>
              </w:numPr>
              <w:pBdr>
                <w:top w:val="nil"/>
                <w:left w:val="nil"/>
                <w:bottom w:val="nil"/>
                <w:right w:val="nil"/>
                <w:between w:val="nil"/>
              </w:pBdr>
              <w:tabs>
                <w:tab w:val="left" w:pos="432"/>
              </w:tabs>
              <w:spacing w:after="120" w:line="360" w:lineRule="auto"/>
              <w:ind w:left="0" w:firstLine="0"/>
              <w:jc w:val="both"/>
              <w:rPr>
                <w:rFonts w:ascii="Arial" w:eastAsia="Arial" w:hAnsi="Arial" w:cs="Arial"/>
                <w:sz w:val="20"/>
                <w:szCs w:val="20"/>
              </w:rPr>
            </w:pPr>
            <w:r w:rsidRPr="00A02B6D">
              <w:rPr>
                <w:rFonts w:ascii="Arial" w:hAnsi="Arial" w:cs="Arial"/>
                <w:sz w:val="20"/>
              </w:rPr>
              <w:t>Appropriation for funds</w:t>
            </w:r>
          </w:p>
        </w:tc>
        <w:tc>
          <w:tcPr>
            <w:tcW w:w="1079" w:type="pct"/>
            <w:shd w:val="clear" w:color="auto" w:fill="auto"/>
            <w:tcMar>
              <w:top w:w="0" w:type="dxa"/>
              <w:bottom w:w="0" w:type="dxa"/>
            </w:tcMar>
            <w:vAlign w:val="center"/>
          </w:tcPr>
          <w:p w14:paraId="16DCE521" w14:textId="77777777" w:rsidR="00422110" w:rsidRPr="00A02B6D" w:rsidRDefault="003A75A3" w:rsidP="00702C6B">
            <w:pPr>
              <w:pBdr>
                <w:top w:val="nil"/>
                <w:left w:val="nil"/>
                <w:bottom w:val="nil"/>
                <w:right w:val="nil"/>
                <w:between w:val="nil"/>
              </w:pBdr>
              <w:tabs>
                <w:tab w:val="left" w:pos="432"/>
              </w:tabs>
              <w:spacing w:after="120" w:line="360" w:lineRule="auto"/>
              <w:jc w:val="both"/>
              <w:rPr>
                <w:rFonts w:ascii="Arial" w:eastAsia="Arial" w:hAnsi="Arial" w:cs="Arial"/>
                <w:sz w:val="20"/>
                <w:szCs w:val="20"/>
              </w:rPr>
            </w:pPr>
            <w:r w:rsidRPr="00A02B6D">
              <w:rPr>
                <w:rFonts w:ascii="Arial" w:hAnsi="Arial" w:cs="Arial"/>
                <w:sz w:val="20"/>
              </w:rPr>
              <w:t>None</w:t>
            </w:r>
          </w:p>
        </w:tc>
        <w:tc>
          <w:tcPr>
            <w:tcW w:w="1109" w:type="pct"/>
            <w:shd w:val="clear" w:color="auto" w:fill="auto"/>
            <w:tcMar>
              <w:top w:w="0" w:type="dxa"/>
              <w:bottom w:w="0" w:type="dxa"/>
            </w:tcMar>
            <w:vAlign w:val="center"/>
          </w:tcPr>
          <w:p w14:paraId="334EE274" w14:textId="77777777" w:rsidR="00422110" w:rsidRPr="00A02B6D" w:rsidRDefault="00422110" w:rsidP="00702C6B">
            <w:pPr>
              <w:tabs>
                <w:tab w:val="left" w:pos="432"/>
              </w:tabs>
              <w:spacing w:after="120" w:line="360" w:lineRule="auto"/>
              <w:jc w:val="both"/>
              <w:rPr>
                <w:rFonts w:ascii="Arial" w:eastAsia="Arial" w:hAnsi="Arial" w:cs="Arial"/>
                <w:sz w:val="20"/>
                <w:szCs w:val="20"/>
              </w:rPr>
            </w:pPr>
          </w:p>
        </w:tc>
      </w:tr>
      <w:tr w:rsidR="00422110" w:rsidRPr="00A02B6D" w14:paraId="6CDE12C8" w14:textId="77777777" w:rsidTr="003A75A3">
        <w:tc>
          <w:tcPr>
            <w:tcW w:w="308" w:type="pct"/>
            <w:shd w:val="clear" w:color="auto" w:fill="auto"/>
            <w:tcMar>
              <w:top w:w="0" w:type="dxa"/>
              <w:bottom w:w="0" w:type="dxa"/>
            </w:tcMar>
            <w:vAlign w:val="center"/>
          </w:tcPr>
          <w:p w14:paraId="14DBF9D1" w14:textId="77777777" w:rsidR="00422110" w:rsidRPr="00A02B6D" w:rsidRDefault="003A75A3" w:rsidP="00702C6B">
            <w:pPr>
              <w:pBdr>
                <w:top w:val="nil"/>
                <w:left w:val="nil"/>
                <w:bottom w:val="nil"/>
                <w:right w:val="nil"/>
                <w:between w:val="nil"/>
              </w:pBdr>
              <w:tabs>
                <w:tab w:val="left" w:pos="432"/>
              </w:tabs>
              <w:spacing w:after="120" w:line="360" w:lineRule="auto"/>
              <w:jc w:val="both"/>
              <w:rPr>
                <w:rFonts w:ascii="Arial" w:eastAsia="Arial" w:hAnsi="Arial" w:cs="Arial"/>
                <w:sz w:val="20"/>
                <w:szCs w:val="20"/>
              </w:rPr>
            </w:pPr>
            <w:r w:rsidRPr="00A02B6D">
              <w:rPr>
                <w:rFonts w:ascii="Arial" w:hAnsi="Arial" w:cs="Arial"/>
                <w:sz w:val="20"/>
              </w:rPr>
              <w:t>3</w:t>
            </w:r>
          </w:p>
        </w:tc>
        <w:tc>
          <w:tcPr>
            <w:tcW w:w="2504" w:type="pct"/>
            <w:shd w:val="clear" w:color="auto" w:fill="auto"/>
            <w:tcMar>
              <w:top w:w="0" w:type="dxa"/>
              <w:bottom w:w="0" w:type="dxa"/>
            </w:tcMar>
            <w:vAlign w:val="center"/>
          </w:tcPr>
          <w:p w14:paraId="560B8471" w14:textId="77777777" w:rsidR="00422110" w:rsidRPr="00A02B6D" w:rsidRDefault="003A75A3" w:rsidP="00702C6B">
            <w:pPr>
              <w:pBdr>
                <w:top w:val="nil"/>
                <w:left w:val="nil"/>
                <w:bottom w:val="nil"/>
                <w:right w:val="nil"/>
                <w:between w:val="nil"/>
              </w:pBdr>
              <w:tabs>
                <w:tab w:val="left" w:pos="432"/>
              </w:tabs>
              <w:spacing w:after="120" w:line="360" w:lineRule="auto"/>
              <w:jc w:val="both"/>
              <w:rPr>
                <w:rFonts w:ascii="Arial" w:eastAsia="Arial" w:hAnsi="Arial" w:cs="Arial"/>
                <w:sz w:val="20"/>
                <w:szCs w:val="20"/>
              </w:rPr>
            </w:pPr>
            <w:r w:rsidRPr="00A02B6D">
              <w:rPr>
                <w:rFonts w:ascii="Arial" w:hAnsi="Arial" w:cs="Arial"/>
                <w:sz w:val="20"/>
              </w:rPr>
              <w:t>Total remaining undistributed profit</w:t>
            </w:r>
          </w:p>
        </w:tc>
        <w:tc>
          <w:tcPr>
            <w:tcW w:w="1079" w:type="pct"/>
            <w:shd w:val="clear" w:color="auto" w:fill="auto"/>
            <w:tcMar>
              <w:top w:w="0" w:type="dxa"/>
              <w:bottom w:w="0" w:type="dxa"/>
            </w:tcMar>
            <w:vAlign w:val="center"/>
          </w:tcPr>
          <w:p w14:paraId="12E4C1C3" w14:textId="77777777" w:rsidR="00422110" w:rsidRPr="00A02B6D" w:rsidRDefault="003A75A3" w:rsidP="00702C6B">
            <w:pPr>
              <w:pBdr>
                <w:top w:val="nil"/>
                <w:left w:val="nil"/>
                <w:bottom w:val="nil"/>
                <w:right w:val="nil"/>
                <w:between w:val="nil"/>
              </w:pBdr>
              <w:tabs>
                <w:tab w:val="left" w:pos="432"/>
              </w:tabs>
              <w:spacing w:after="120" w:line="360" w:lineRule="auto"/>
              <w:jc w:val="both"/>
              <w:rPr>
                <w:rFonts w:ascii="Arial" w:eastAsia="Arial" w:hAnsi="Arial" w:cs="Arial"/>
                <w:sz w:val="20"/>
                <w:szCs w:val="20"/>
              </w:rPr>
            </w:pPr>
            <w:r w:rsidRPr="00A02B6D">
              <w:rPr>
                <w:rFonts w:ascii="Arial" w:hAnsi="Arial" w:cs="Arial"/>
                <w:sz w:val="20"/>
              </w:rPr>
              <w:t>None</w:t>
            </w:r>
          </w:p>
        </w:tc>
        <w:tc>
          <w:tcPr>
            <w:tcW w:w="1109" w:type="pct"/>
            <w:shd w:val="clear" w:color="auto" w:fill="auto"/>
            <w:tcMar>
              <w:top w:w="0" w:type="dxa"/>
              <w:bottom w:w="0" w:type="dxa"/>
            </w:tcMar>
            <w:vAlign w:val="center"/>
          </w:tcPr>
          <w:p w14:paraId="6CEA2017" w14:textId="77777777" w:rsidR="00422110" w:rsidRPr="00A02B6D" w:rsidRDefault="00422110" w:rsidP="00702C6B">
            <w:pPr>
              <w:tabs>
                <w:tab w:val="left" w:pos="432"/>
              </w:tabs>
              <w:spacing w:after="120" w:line="360" w:lineRule="auto"/>
              <w:jc w:val="both"/>
              <w:rPr>
                <w:rFonts w:ascii="Arial" w:eastAsia="Arial" w:hAnsi="Arial" w:cs="Arial"/>
                <w:sz w:val="20"/>
                <w:szCs w:val="20"/>
              </w:rPr>
            </w:pPr>
          </w:p>
        </w:tc>
      </w:tr>
    </w:tbl>
    <w:p w14:paraId="1E836963" w14:textId="77777777" w:rsidR="00422110" w:rsidRPr="00A02B6D" w:rsidRDefault="003A75A3" w:rsidP="00702C6B">
      <w:pPr>
        <w:pBdr>
          <w:top w:val="nil"/>
          <w:left w:val="nil"/>
          <w:bottom w:val="nil"/>
          <w:right w:val="nil"/>
          <w:between w:val="nil"/>
        </w:pBdr>
        <w:tabs>
          <w:tab w:val="left" w:pos="432"/>
        </w:tabs>
        <w:spacing w:after="120" w:line="360" w:lineRule="auto"/>
        <w:jc w:val="both"/>
        <w:rPr>
          <w:rFonts w:ascii="Arial" w:eastAsia="Arial" w:hAnsi="Arial" w:cs="Arial"/>
          <w:color w:val="010000"/>
          <w:sz w:val="20"/>
          <w:szCs w:val="20"/>
        </w:rPr>
      </w:pPr>
      <w:r w:rsidRPr="00A02B6D">
        <w:rPr>
          <w:rFonts w:ascii="Arial" w:hAnsi="Arial" w:cs="Arial"/>
          <w:color w:val="010000"/>
          <w:sz w:val="20"/>
        </w:rPr>
        <w:t>‎‎Article 9. Approve the remuneration level for 2023 and the remuneration plan for 2024 of the Board of Directors and the Supervisory Board.</w:t>
      </w:r>
    </w:p>
    <w:p w14:paraId="326EAFA4" w14:textId="77777777" w:rsidR="00422110" w:rsidRPr="00A02B6D" w:rsidRDefault="003A75A3" w:rsidP="00702C6B">
      <w:pPr>
        <w:pBdr>
          <w:top w:val="nil"/>
          <w:left w:val="nil"/>
          <w:bottom w:val="nil"/>
          <w:right w:val="nil"/>
          <w:between w:val="nil"/>
        </w:pBdr>
        <w:tabs>
          <w:tab w:val="left" w:pos="432"/>
        </w:tabs>
        <w:spacing w:after="120" w:line="360" w:lineRule="auto"/>
        <w:jc w:val="both"/>
        <w:rPr>
          <w:rFonts w:ascii="Arial" w:eastAsia="Arial" w:hAnsi="Arial" w:cs="Arial"/>
          <w:color w:val="010000"/>
          <w:sz w:val="20"/>
          <w:szCs w:val="20"/>
        </w:rPr>
      </w:pPr>
      <w:r w:rsidRPr="00A02B6D">
        <w:rPr>
          <w:rFonts w:ascii="Arial" w:hAnsi="Arial" w:cs="Arial"/>
          <w:color w:val="010000"/>
          <w:sz w:val="20"/>
        </w:rPr>
        <w:t>‎‎Article 10. Approve the execution of contracts with related parties under the authority of the General Meeting of Shareholders in 2024.</w:t>
      </w:r>
    </w:p>
    <w:p w14:paraId="5B54F4A7" w14:textId="77777777" w:rsidR="00422110" w:rsidRPr="00A02B6D" w:rsidRDefault="003A75A3" w:rsidP="00702C6B">
      <w:pPr>
        <w:pBdr>
          <w:top w:val="nil"/>
          <w:left w:val="nil"/>
          <w:bottom w:val="nil"/>
          <w:right w:val="nil"/>
          <w:between w:val="nil"/>
        </w:pBdr>
        <w:tabs>
          <w:tab w:val="left" w:pos="432"/>
        </w:tabs>
        <w:spacing w:after="120" w:line="360" w:lineRule="auto"/>
        <w:jc w:val="both"/>
        <w:rPr>
          <w:rFonts w:ascii="Arial" w:eastAsia="Arial" w:hAnsi="Arial" w:cs="Arial"/>
          <w:color w:val="010000"/>
          <w:sz w:val="20"/>
          <w:szCs w:val="20"/>
        </w:rPr>
      </w:pPr>
      <w:r w:rsidRPr="00A02B6D">
        <w:rPr>
          <w:rFonts w:ascii="Arial" w:hAnsi="Arial" w:cs="Arial"/>
          <w:color w:val="010000"/>
          <w:sz w:val="20"/>
        </w:rPr>
        <w:t>‎‎Article 11. Approve the selection of an audit company for the Financial Statements 2024</w:t>
      </w:r>
    </w:p>
    <w:p w14:paraId="653A8ED8" w14:textId="77777777" w:rsidR="00422110" w:rsidRPr="00A02B6D" w:rsidRDefault="003A75A3" w:rsidP="00702C6B">
      <w:pPr>
        <w:pBdr>
          <w:top w:val="nil"/>
          <w:left w:val="nil"/>
          <w:bottom w:val="nil"/>
          <w:right w:val="nil"/>
          <w:between w:val="nil"/>
        </w:pBdr>
        <w:tabs>
          <w:tab w:val="left" w:pos="432"/>
          <w:tab w:val="left" w:pos="10819"/>
        </w:tabs>
        <w:spacing w:after="120" w:line="360" w:lineRule="auto"/>
        <w:jc w:val="both"/>
        <w:rPr>
          <w:rFonts w:ascii="Arial" w:eastAsia="Arial" w:hAnsi="Arial" w:cs="Arial"/>
          <w:color w:val="010000"/>
          <w:sz w:val="20"/>
          <w:szCs w:val="20"/>
        </w:rPr>
      </w:pPr>
      <w:r w:rsidRPr="00A02B6D">
        <w:rPr>
          <w:rFonts w:ascii="Arial" w:hAnsi="Arial" w:cs="Arial"/>
          <w:color w:val="010000"/>
          <w:sz w:val="20"/>
        </w:rPr>
        <w:t>‎‎Article 12. Approve the dismissal of Mr. Nguyen Tu Thanh from the positions of Member and Chair of the Board of Directors; approving the dismissal of Mr. Nguyen Hoa Nam and Mr. Nguyen Thanh Phuc from the position of Member of the Board of Directors.</w:t>
      </w:r>
    </w:p>
    <w:p w14:paraId="1286EF0E" w14:textId="77777777" w:rsidR="00422110" w:rsidRPr="00A02B6D" w:rsidRDefault="003A75A3" w:rsidP="00702C6B">
      <w:pPr>
        <w:pBdr>
          <w:top w:val="nil"/>
          <w:left w:val="nil"/>
          <w:bottom w:val="nil"/>
          <w:right w:val="nil"/>
          <w:between w:val="nil"/>
        </w:pBdr>
        <w:tabs>
          <w:tab w:val="left" w:pos="432"/>
        </w:tabs>
        <w:spacing w:after="120" w:line="360" w:lineRule="auto"/>
        <w:jc w:val="both"/>
        <w:rPr>
          <w:rFonts w:ascii="Arial" w:eastAsia="Arial" w:hAnsi="Arial" w:cs="Arial"/>
          <w:color w:val="010000"/>
          <w:sz w:val="20"/>
          <w:szCs w:val="20"/>
        </w:rPr>
      </w:pPr>
      <w:r w:rsidRPr="00A02B6D">
        <w:rPr>
          <w:rFonts w:ascii="Arial" w:hAnsi="Arial" w:cs="Arial"/>
          <w:color w:val="010000"/>
          <w:sz w:val="20"/>
        </w:rPr>
        <w:t>‎‎Article 13. Approve the dismissal of Ms. Nguyen Hoang Bang Chau from the position of Member of the Supervisory Board.</w:t>
      </w:r>
    </w:p>
    <w:p w14:paraId="5D8DA5DB" w14:textId="77777777" w:rsidR="00422110" w:rsidRPr="00A02B6D" w:rsidRDefault="003A75A3" w:rsidP="00702C6B">
      <w:pPr>
        <w:pBdr>
          <w:top w:val="nil"/>
          <w:left w:val="nil"/>
          <w:bottom w:val="nil"/>
          <w:right w:val="nil"/>
          <w:between w:val="nil"/>
        </w:pBdr>
        <w:tabs>
          <w:tab w:val="left" w:pos="432"/>
        </w:tabs>
        <w:spacing w:after="120" w:line="360" w:lineRule="auto"/>
        <w:jc w:val="both"/>
        <w:rPr>
          <w:rFonts w:ascii="Arial" w:eastAsia="Arial" w:hAnsi="Arial" w:cs="Arial"/>
          <w:color w:val="010000"/>
          <w:sz w:val="20"/>
          <w:szCs w:val="20"/>
        </w:rPr>
      </w:pPr>
      <w:r w:rsidRPr="00A02B6D">
        <w:rPr>
          <w:rFonts w:ascii="Arial" w:hAnsi="Arial" w:cs="Arial"/>
          <w:color w:val="010000"/>
          <w:sz w:val="20"/>
        </w:rPr>
        <w:t>‎‎Article 14. Agree on the results of additional election to the Board of Directors and Supervisory Board for the 2021 - 2026 term, as follows:</w:t>
      </w:r>
    </w:p>
    <w:p w14:paraId="1E209E20" w14:textId="77777777" w:rsidR="00422110" w:rsidRPr="00A02B6D" w:rsidRDefault="003A75A3" w:rsidP="00702C6B">
      <w:pPr>
        <w:numPr>
          <w:ilvl w:val="0"/>
          <w:numId w:val="3"/>
        </w:numPr>
        <w:pBdr>
          <w:top w:val="nil"/>
          <w:left w:val="nil"/>
          <w:bottom w:val="nil"/>
          <w:right w:val="nil"/>
          <w:between w:val="nil"/>
        </w:pBdr>
        <w:tabs>
          <w:tab w:val="left" w:pos="432"/>
        </w:tabs>
        <w:spacing w:after="120" w:line="360" w:lineRule="auto"/>
        <w:ind w:left="0" w:firstLine="0"/>
        <w:jc w:val="both"/>
        <w:rPr>
          <w:rFonts w:ascii="Arial" w:eastAsia="Arial" w:hAnsi="Arial" w:cs="Arial"/>
          <w:color w:val="010000"/>
          <w:sz w:val="20"/>
          <w:szCs w:val="20"/>
        </w:rPr>
      </w:pPr>
      <w:r w:rsidRPr="00A02B6D">
        <w:rPr>
          <w:rFonts w:ascii="Arial" w:hAnsi="Arial" w:cs="Arial"/>
          <w:color w:val="010000"/>
          <w:sz w:val="20"/>
        </w:rPr>
        <w:t>The Board of Directors</w:t>
      </w:r>
    </w:p>
    <w:tbl>
      <w:tblPr>
        <w:tblStyle w:val="a0"/>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412"/>
        <w:gridCol w:w="7605"/>
      </w:tblGrid>
      <w:tr w:rsidR="00A02E1D" w:rsidRPr="00A02B6D" w14:paraId="33F071C3" w14:textId="77777777" w:rsidTr="00A02E1D">
        <w:tc>
          <w:tcPr>
            <w:tcW w:w="783" w:type="pct"/>
            <w:shd w:val="clear" w:color="auto" w:fill="auto"/>
            <w:tcMar>
              <w:top w:w="0" w:type="dxa"/>
              <w:bottom w:w="0" w:type="dxa"/>
            </w:tcMar>
            <w:vAlign w:val="center"/>
          </w:tcPr>
          <w:p w14:paraId="645EE3C0" w14:textId="77777777" w:rsidR="00A02E1D" w:rsidRPr="00A02B6D" w:rsidRDefault="00A02E1D" w:rsidP="00702C6B">
            <w:pPr>
              <w:pBdr>
                <w:top w:val="nil"/>
                <w:left w:val="nil"/>
                <w:bottom w:val="nil"/>
                <w:right w:val="nil"/>
                <w:between w:val="nil"/>
              </w:pBdr>
              <w:tabs>
                <w:tab w:val="left" w:pos="432"/>
              </w:tabs>
              <w:spacing w:after="120" w:line="360" w:lineRule="auto"/>
              <w:jc w:val="both"/>
              <w:rPr>
                <w:rFonts w:ascii="Arial" w:eastAsia="Arial" w:hAnsi="Arial" w:cs="Arial"/>
                <w:color w:val="010000"/>
                <w:sz w:val="20"/>
                <w:szCs w:val="20"/>
              </w:rPr>
            </w:pPr>
            <w:r w:rsidRPr="00A02B6D">
              <w:rPr>
                <w:rFonts w:ascii="Arial" w:hAnsi="Arial" w:cs="Arial"/>
                <w:color w:val="010000"/>
                <w:sz w:val="20"/>
              </w:rPr>
              <w:lastRenderedPageBreak/>
              <w:t>No.</w:t>
            </w:r>
          </w:p>
        </w:tc>
        <w:tc>
          <w:tcPr>
            <w:tcW w:w="4217" w:type="pct"/>
            <w:shd w:val="clear" w:color="auto" w:fill="auto"/>
            <w:tcMar>
              <w:top w:w="0" w:type="dxa"/>
              <w:bottom w:w="0" w:type="dxa"/>
            </w:tcMar>
            <w:vAlign w:val="center"/>
          </w:tcPr>
          <w:p w14:paraId="27542A72" w14:textId="77777777" w:rsidR="00A02E1D" w:rsidRPr="00A02B6D" w:rsidRDefault="00A02E1D" w:rsidP="00702C6B">
            <w:pPr>
              <w:pBdr>
                <w:top w:val="nil"/>
                <w:left w:val="nil"/>
                <w:bottom w:val="nil"/>
                <w:right w:val="nil"/>
                <w:between w:val="nil"/>
              </w:pBdr>
              <w:tabs>
                <w:tab w:val="left" w:pos="432"/>
              </w:tabs>
              <w:spacing w:after="120" w:line="360" w:lineRule="auto"/>
              <w:jc w:val="both"/>
              <w:rPr>
                <w:rFonts w:ascii="Arial" w:eastAsia="Arial" w:hAnsi="Arial" w:cs="Arial"/>
                <w:color w:val="010000"/>
                <w:sz w:val="20"/>
                <w:szCs w:val="20"/>
              </w:rPr>
            </w:pPr>
            <w:r w:rsidRPr="00A02B6D">
              <w:rPr>
                <w:rFonts w:ascii="Arial" w:hAnsi="Arial" w:cs="Arial"/>
                <w:color w:val="010000"/>
                <w:sz w:val="20"/>
              </w:rPr>
              <w:t>Full name</w:t>
            </w:r>
          </w:p>
          <w:p w14:paraId="62ED2E41" w14:textId="77777777" w:rsidR="00A02E1D" w:rsidRPr="00A02B6D" w:rsidRDefault="00A02E1D" w:rsidP="00702C6B">
            <w:pPr>
              <w:pBdr>
                <w:top w:val="nil"/>
                <w:left w:val="nil"/>
                <w:bottom w:val="nil"/>
                <w:right w:val="nil"/>
                <w:between w:val="nil"/>
              </w:pBdr>
              <w:tabs>
                <w:tab w:val="left" w:pos="432"/>
              </w:tabs>
              <w:spacing w:after="120" w:line="360" w:lineRule="auto"/>
              <w:jc w:val="both"/>
              <w:rPr>
                <w:rFonts w:ascii="Arial" w:eastAsia="Arial" w:hAnsi="Arial" w:cs="Arial"/>
                <w:color w:val="010000"/>
                <w:sz w:val="20"/>
                <w:szCs w:val="20"/>
              </w:rPr>
            </w:pPr>
            <w:r w:rsidRPr="00A02B6D">
              <w:rPr>
                <w:rFonts w:ascii="Arial" w:hAnsi="Arial" w:cs="Arial"/>
                <w:color w:val="010000"/>
                <w:sz w:val="20"/>
              </w:rPr>
              <w:t>-</w:t>
            </w:r>
          </w:p>
        </w:tc>
      </w:tr>
      <w:tr w:rsidR="00A02E1D" w:rsidRPr="00A02B6D" w14:paraId="76DAAE63" w14:textId="77777777" w:rsidTr="00A02E1D">
        <w:tc>
          <w:tcPr>
            <w:tcW w:w="783" w:type="pct"/>
            <w:shd w:val="clear" w:color="auto" w:fill="auto"/>
            <w:tcMar>
              <w:top w:w="0" w:type="dxa"/>
              <w:bottom w:w="0" w:type="dxa"/>
            </w:tcMar>
            <w:vAlign w:val="center"/>
          </w:tcPr>
          <w:p w14:paraId="2A490502" w14:textId="77777777" w:rsidR="00A02E1D" w:rsidRPr="00A02B6D" w:rsidRDefault="00A02E1D" w:rsidP="00702C6B">
            <w:pPr>
              <w:pBdr>
                <w:top w:val="nil"/>
                <w:left w:val="nil"/>
                <w:bottom w:val="nil"/>
                <w:right w:val="nil"/>
                <w:between w:val="nil"/>
              </w:pBdr>
              <w:tabs>
                <w:tab w:val="left" w:pos="432"/>
              </w:tabs>
              <w:spacing w:after="120" w:line="360" w:lineRule="auto"/>
              <w:jc w:val="both"/>
              <w:rPr>
                <w:rFonts w:ascii="Arial" w:eastAsia="Arial" w:hAnsi="Arial" w:cs="Arial"/>
                <w:color w:val="010000"/>
                <w:sz w:val="20"/>
                <w:szCs w:val="20"/>
              </w:rPr>
            </w:pPr>
            <w:r w:rsidRPr="00A02B6D">
              <w:rPr>
                <w:rFonts w:ascii="Arial" w:hAnsi="Arial" w:cs="Arial"/>
                <w:color w:val="010000"/>
                <w:sz w:val="20"/>
              </w:rPr>
              <w:t>1</w:t>
            </w:r>
          </w:p>
        </w:tc>
        <w:tc>
          <w:tcPr>
            <w:tcW w:w="4217" w:type="pct"/>
            <w:shd w:val="clear" w:color="auto" w:fill="auto"/>
            <w:tcMar>
              <w:top w:w="0" w:type="dxa"/>
              <w:bottom w:w="0" w:type="dxa"/>
            </w:tcMar>
            <w:vAlign w:val="center"/>
          </w:tcPr>
          <w:p w14:paraId="4E51D5EC" w14:textId="77777777" w:rsidR="00A02E1D" w:rsidRPr="00A02B6D" w:rsidRDefault="00A02E1D" w:rsidP="00702C6B">
            <w:pPr>
              <w:pBdr>
                <w:top w:val="nil"/>
                <w:left w:val="nil"/>
                <w:bottom w:val="nil"/>
                <w:right w:val="nil"/>
                <w:between w:val="nil"/>
              </w:pBdr>
              <w:tabs>
                <w:tab w:val="left" w:pos="432"/>
              </w:tabs>
              <w:spacing w:after="120" w:line="360" w:lineRule="auto"/>
              <w:jc w:val="both"/>
              <w:rPr>
                <w:rFonts w:ascii="Arial" w:eastAsia="Arial" w:hAnsi="Arial" w:cs="Arial"/>
                <w:color w:val="010000"/>
                <w:sz w:val="20"/>
                <w:szCs w:val="20"/>
              </w:rPr>
            </w:pPr>
            <w:r w:rsidRPr="00A02B6D">
              <w:rPr>
                <w:rFonts w:ascii="Arial" w:hAnsi="Arial" w:cs="Arial"/>
                <w:color w:val="010000"/>
                <w:sz w:val="20"/>
              </w:rPr>
              <w:t>Mr. Phan Xuan Hien</w:t>
            </w:r>
          </w:p>
        </w:tc>
      </w:tr>
      <w:tr w:rsidR="00A02E1D" w:rsidRPr="00A02B6D" w14:paraId="47E0EAF6" w14:textId="77777777" w:rsidTr="00A02E1D">
        <w:tc>
          <w:tcPr>
            <w:tcW w:w="783" w:type="pct"/>
            <w:shd w:val="clear" w:color="auto" w:fill="auto"/>
            <w:tcMar>
              <w:top w:w="0" w:type="dxa"/>
              <w:bottom w:w="0" w:type="dxa"/>
            </w:tcMar>
            <w:vAlign w:val="center"/>
          </w:tcPr>
          <w:p w14:paraId="3E610679" w14:textId="77777777" w:rsidR="00A02E1D" w:rsidRPr="00A02B6D" w:rsidRDefault="00A02E1D" w:rsidP="00702C6B">
            <w:pPr>
              <w:pBdr>
                <w:top w:val="nil"/>
                <w:left w:val="nil"/>
                <w:bottom w:val="nil"/>
                <w:right w:val="nil"/>
                <w:between w:val="nil"/>
              </w:pBdr>
              <w:tabs>
                <w:tab w:val="left" w:pos="432"/>
              </w:tabs>
              <w:spacing w:after="120" w:line="360" w:lineRule="auto"/>
              <w:jc w:val="both"/>
              <w:rPr>
                <w:rFonts w:ascii="Arial" w:eastAsia="Arial" w:hAnsi="Arial" w:cs="Arial"/>
                <w:color w:val="010000"/>
                <w:sz w:val="20"/>
                <w:szCs w:val="20"/>
              </w:rPr>
            </w:pPr>
            <w:r w:rsidRPr="00A02B6D">
              <w:rPr>
                <w:rFonts w:ascii="Arial" w:hAnsi="Arial" w:cs="Arial"/>
                <w:color w:val="010000"/>
                <w:sz w:val="20"/>
              </w:rPr>
              <w:t>2</w:t>
            </w:r>
          </w:p>
        </w:tc>
        <w:tc>
          <w:tcPr>
            <w:tcW w:w="4217" w:type="pct"/>
            <w:shd w:val="clear" w:color="auto" w:fill="auto"/>
            <w:tcMar>
              <w:top w:w="0" w:type="dxa"/>
              <w:bottom w:w="0" w:type="dxa"/>
            </w:tcMar>
            <w:vAlign w:val="center"/>
          </w:tcPr>
          <w:p w14:paraId="2B422933" w14:textId="77777777" w:rsidR="00A02E1D" w:rsidRPr="00A02B6D" w:rsidRDefault="00A02E1D" w:rsidP="00702C6B">
            <w:pPr>
              <w:pBdr>
                <w:top w:val="nil"/>
                <w:left w:val="nil"/>
                <w:bottom w:val="nil"/>
                <w:right w:val="nil"/>
                <w:between w:val="nil"/>
              </w:pBdr>
              <w:tabs>
                <w:tab w:val="left" w:pos="432"/>
              </w:tabs>
              <w:spacing w:after="120" w:line="360" w:lineRule="auto"/>
              <w:jc w:val="both"/>
              <w:rPr>
                <w:rFonts w:ascii="Arial" w:eastAsia="Arial" w:hAnsi="Arial" w:cs="Arial"/>
                <w:color w:val="010000"/>
                <w:sz w:val="20"/>
                <w:szCs w:val="20"/>
              </w:rPr>
            </w:pPr>
            <w:r w:rsidRPr="00A02B6D">
              <w:rPr>
                <w:rFonts w:ascii="Arial" w:hAnsi="Arial" w:cs="Arial"/>
                <w:color w:val="010000"/>
                <w:sz w:val="20"/>
              </w:rPr>
              <w:t>Mr. Truong Phu Cuong</w:t>
            </w:r>
          </w:p>
        </w:tc>
      </w:tr>
      <w:tr w:rsidR="00A02E1D" w:rsidRPr="00A02B6D" w14:paraId="6EF2DF35" w14:textId="77777777" w:rsidTr="00A02E1D">
        <w:tc>
          <w:tcPr>
            <w:tcW w:w="783" w:type="pct"/>
            <w:shd w:val="clear" w:color="auto" w:fill="auto"/>
            <w:tcMar>
              <w:top w:w="0" w:type="dxa"/>
              <w:bottom w:w="0" w:type="dxa"/>
            </w:tcMar>
            <w:vAlign w:val="center"/>
          </w:tcPr>
          <w:p w14:paraId="1AA2C74C" w14:textId="77777777" w:rsidR="00A02E1D" w:rsidRPr="00A02B6D" w:rsidRDefault="00A02E1D" w:rsidP="00702C6B">
            <w:pPr>
              <w:pBdr>
                <w:top w:val="nil"/>
                <w:left w:val="nil"/>
                <w:bottom w:val="nil"/>
                <w:right w:val="nil"/>
                <w:between w:val="nil"/>
              </w:pBdr>
              <w:tabs>
                <w:tab w:val="left" w:pos="432"/>
              </w:tabs>
              <w:spacing w:after="120" w:line="360" w:lineRule="auto"/>
              <w:jc w:val="both"/>
              <w:rPr>
                <w:rFonts w:ascii="Arial" w:eastAsia="Arial" w:hAnsi="Arial" w:cs="Arial"/>
                <w:color w:val="010000"/>
                <w:sz w:val="20"/>
                <w:szCs w:val="20"/>
              </w:rPr>
            </w:pPr>
            <w:r w:rsidRPr="00A02B6D">
              <w:rPr>
                <w:rFonts w:ascii="Arial" w:hAnsi="Arial" w:cs="Arial"/>
                <w:color w:val="010000"/>
                <w:sz w:val="20"/>
              </w:rPr>
              <w:t>3</w:t>
            </w:r>
          </w:p>
        </w:tc>
        <w:tc>
          <w:tcPr>
            <w:tcW w:w="4217" w:type="pct"/>
            <w:shd w:val="clear" w:color="auto" w:fill="auto"/>
            <w:tcMar>
              <w:top w:w="0" w:type="dxa"/>
              <w:bottom w:w="0" w:type="dxa"/>
            </w:tcMar>
            <w:vAlign w:val="center"/>
          </w:tcPr>
          <w:p w14:paraId="71C45F9C" w14:textId="77777777" w:rsidR="00A02E1D" w:rsidRPr="00A02B6D" w:rsidRDefault="00A02E1D" w:rsidP="00702C6B">
            <w:pPr>
              <w:pBdr>
                <w:top w:val="nil"/>
                <w:left w:val="nil"/>
                <w:bottom w:val="nil"/>
                <w:right w:val="nil"/>
                <w:between w:val="nil"/>
              </w:pBdr>
              <w:tabs>
                <w:tab w:val="left" w:pos="432"/>
              </w:tabs>
              <w:spacing w:after="120" w:line="360" w:lineRule="auto"/>
              <w:jc w:val="both"/>
              <w:rPr>
                <w:rFonts w:ascii="Arial" w:eastAsia="Arial" w:hAnsi="Arial" w:cs="Arial"/>
                <w:color w:val="010000"/>
                <w:sz w:val="20"/>
                <w:szCs w:val="20"/>
              </w:rPr>
            </w:pPr>
            <w:r w:rsidRPr="00A02B6D">
              <w:rPr>
                <w:rFonts w:ascii="Arial" w:hAnsi="Arial" w:cs="Arial"/>
                <w:color w:val="010000"/>
                <w:sz w:val="20"/>
              </w:rPr>
              <w:t>Mr. Vo Ngoc Trung</w:t>
            </w:r>
          </w:p>
        </w:tc>
      </w:tr>
    </w:tbl>
    <w:p w14:paraId="7669E35F" w14:textId="77777777" w:rsidR="00422110" w:rsidRPr="00A02B6D" w:rsidRDefault="003A75A3" w:rsidP="00702C6B">
      <w:pPr>
        <w:numPr>
          <w:ilvl w:val="0"/>
          <w:numId w:val="3"/>
        </w:numPr>
        <w:pBdr>
          <w:top w:val="nil"/>
          <w:left w:val="nil"/>
          <w:bottom w:val="nil"/>
          <w:right w:val="nil"/>
          <w:between w:val="nil"/>
        </w:pBdr>
        <w:tabs>
          <w:tab w:val="left" w:pos="432"/>
        </w:tabs>
        <w:spacing w:after="120" w:line="360" w:lineRule="auto"/>
        <w:ind w:left="0" w:firstLine="0"/>
        <w:jc w:val="both"/>
        <w:rPr>
          <w:rFonts w:ascii="Arial" w:eastAsia="Arial" w:hAnsi="Arial" w:cs="Arial"/>
          <w:color w:val="010000"/>
          <w:sz w:val="20"/>
          <w:szCs w:val="20"/>
        </w:rPr>
      </w:pPr>
      <w:r w:rsidRPr="00A02B6D">
        <w:rPr>
          <w:rFonts w:ascii="Arial" w:hAnsi="Arial" w:cs="Arial"/>
          <w:color w:val="010000"/>
          <w:sz w:val="20"/>
        </w:rPr>
        <w:t>Supervisory Board:</w:t>
      </w:r>
    </w:p>
    <w:tbl>
      <w:tblPr>
        <w:tblStyle w:val="a1"/>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408"/>
        <w:gridCol w:w="7609"/>
      </w:tblGrid>
      <w:tr w:rsidR="00A02E1D" w:rsidRPr="00A02B6D" w14:paraId="385E81F7" w14:textId="77777777" w:rsidTr="00A02E1D">
        <w:tc>
          <w:tcPr>
            <w:tcW w:w="781" w:type="pct"/>
            <w:shd w:val="clear" w:color="auto" w:fill="auto"/>
            <w:tcMar>
              <w:top w:w="0" w:type="dxa"/>
              <w:bottom w:w="0" w:type="dxa"/>
            </w:tcMar>
            <w:vAlign w:val="center"/>
          </w:tcPr>
          <w:p w14:paraId="57449BBC" w14:textId="77777777" w:rsidR="00A02E1D" w:rsidRPr="00A02B6D" w:rsidRDefault="00A02E1D" w:rsidP="00702C6B">
            <w:pPr>
              <w:pBdr>
                <w:top w:val="nil"/>
                <w:left w:val="nil"/>
                <w:bottom w:val="nil"/>
                <w:right w:val="nil"/>
                <w:between w:val="nil"/>
              </w:pBdr>
              <w:tabs>
                <w:tab w:val="left" w:pos="432"/>
              </w:tabs>
              <w:spacing w:after="120" w:line="360" w:lineRule="auto"/>
              <w:jc w:val="both"/>
              <w:rPr>
                <w:rFonts w:ascii="Arial" w:eastAsia="Arial" w:hAnsi="Arial" w:cs="Arial"/>
                <w:color w:val="010000"/>
                <w:sz w:val="20"/>
                <w:szCs w:val="20"/>
              </w:rPr>
            </w:pPr>
            <w:r w:rsidRPr="00A02B6D">
              <w:rPr>
                <w:rFonts w:ascii="Arial" w:hAnsi="Arial" w:cs="Arial"/>
                <w:color w:val="010000"/>
                <w:sz w:val="20"/>
              </w:rPr>
              <w:t>No.</w:t>
            </w:r>
          </w:p>
        </w:tc>
        <w:tc>
          <w:tcPr>
            <w:tcW w:w="4219" w:type="pct"/>
            <w:shd w:val="clear" w:color="auto" w:fill="auto"/>
            <w:tcMar>
              <w:top w:w="0" w:type="dxa"/>
              <w:bottom w:w="0" w:type="dxa"/>
            </w:tcMar>
            <w:vAlign w:val="center"/>
          </w:tcPr>
          <w:p w14:paraId="7E176E9C" w14:textId="77777777" w:rsidR="00A02E1D" w:rsidRPr="00A02B6D" w:rsidRDefault="00A02E1D" w:rsidP="00702C6B">
            <w:pPr>
              <w:pBdr>
                <w:top w:val="nil"/>
                <w:left w:val="nil"/>
                <w:bottom w:val="nil"/>
                <w:right w:val="nil"/>
                <w:between w:val="nil"/>
              </w:pBdr>
              <w:tabs>
                <w:tab w:val="left" w:pos="432"/>
              </w:tabs>
              <w:spacing w:after="120" w:line="360" w:lineRule="auto"/>
              <w:jc w:val="both"/>
              <w:rPr>
                <w:rFonts w:ascii="Arial" w:eastAsia="Arial" w:hAnsi="Arial" w:cs="Arial"/>
                <w:color w:val="010000"/>
                <w:sz w:val="20"/>
                <w:szCs w:val="20"/>
              </w:rPr>
            </w:pPr>
            <w:r w:rsidRPr="00A02B6D">
              <w:rPr>
                <w:rFonts w:ascii="Arial" w:hAnsi="Arial" w:cs="Arial"/>
                <w:color w:val="010000"/>
                <w:sz w:val="20"/>
              </w:rPr>
              <w:t>Full name</w:t>
            </w:r>
          </w:p>
        </w:tc>
      </w:tr>
      <w:tr w:rsidR="00A02E1D" w:rsidRPr="00A02B6D" w14:paraId="12428B03" w14:textId="77777777" w:rsidTr="00A02E1D">
        <w:tc>
          <w:tcPr>
            <w:tcW w:w="781" w:type="pct"/>
            <w:shd w:val="clear" w:color="auto" w:fill="auto"/>
            <w:tcMar>
              <w:top w:w="0" w:type="dxa"/>
              <w:bottom w:w="0" w:type="dxa"/>
            </w:tcMar>
            <w:vAlign w:val="center"/>
          </w:tcPr>
          <w:p w14:paraId="1CACC284" w14:textId="77777777" w:rsidR="00A02E1D" w:rsidRPr="00A02B6D" w:rsidRDefault="00A02E1D" w:rsidP="00702C6B">
            <w:pPr>
              <w:pBdr>
                <w:top w:val="nil"/>
                <w:left w:val="nil"/>
                <w:bottom w:val="nil"/>
                <w:right w:val="nil"/>
                <w:between w:val="nil"/>
              </w:pBdr>
              <w:tabs>
                <w:tab w:val="left" w:pos="432"/>
              </w:tabs>
              <w:spacing w:after="120" w:line="360" w:lineRule="auto"/>
              <w:jc w:val="both"/>
              <w:rPr>
                <w:rFonts w:ascii="Arial" w:eastAsia="Arial" w:hAnsi="Arial" w:cs="Arial"/>
                <w:color w:val="010000"/>
                <w:sz w:val="20"/>
                <w:szCs w:val="20"/>
              </w:rPr>
            </w:pPr>
            <w:r w:rsidRPr="00A02B6D">
              <w:rPr>
                <w:rFonts w:ascii="Arial" w:hAnsi="Arial" w:cs="Arial"/>
                <w:color w:val="010000"/>
                <w:sz w:val="20"/>
              </w:rPr>
              <w:t>1</w:t>
            </w:r>
          </w:p>
        </w:tc>
        <w:tc>
          <w:tcPr>
            <w:tcW w:w="4219" w:type="pct"/>
            <w:shd w:val="clear" w:color="auto" w:fill="auto"/>
            <w:tcMar>
              <w:top w:w="0" w:type="dxa"/>
              <w:bottom w:w="0" w:type="dxa"/>
            </w:tcMar>
            <w:vAlign w:val="center"/>
          </w:tcPr>
          <w:p w14:paraId="2AAEF701" w14:textId="77777777" w:rsidR="00A02E1D" w:rsidRPr="00A02B6D" w:rsidRDefault="00A02E1D" w:rsidP="00702C6B">
            <w:pPr>
              <w:pBdr>
                <w:top w:val="nil"/>
                <w:left w:val="nil"/>
                <w:bottom w:val="nil"/>
                <w:right w:val="nil"/>
                <w:between w:val="nil"/>
              </w:pBdr>
              <w:tabs>
                <w:tab w:val="left" w:pos="432"/>
              </w:tabs>
              <w:spacing w:after="120" w:line="360" w:lineRule="auto"/>
              <w:jc w:val="both"/>
              <w:rPr>
                <w:rFonts w:ascii="Arial" w:eastAsia="Arial" w:hAnsi="Arial" w:cs="Arial"/>
                <w:color w:val="010000"/>
                <w:sz w:val="20"/>
                <w:szCs w:val="20"/>
              </w:rPr>
            </w:pPr>
            <w:r w:rsidRPr="00A02B6D">
              <w:rPr>
                <w:rFonts w:ascii="Arial" w:hAnsi="Arial" w:cs="Arial"/>
                <w:color w:val="010000"/>
                <w:sz w:val="20"/>
              </w:rPr>
              <w:t>Mr. Nguyen Trung Dong</w:t>
            </w:r>
          </w:p>
        </w:tc>
      </w:tr>
    </w:tbl>
    <w:p w14:paraId="1DDB9A41" w14:textId="7E9E14A6" w:rsidR="00422110" w:rsidRPr="003A75A3" w:rsidRDefault="003A75A3" w:rsidP="00702C6B">
      <w:pPr>
        <w:pBdr>
          <w:top w:val="nil"/>
          <w:left w:val="nil"/>
          <w:bottom w:val="nil"/>
          <w:right w:val="nil"/>
          <w:between w:val="nil"/>
        </w:pBdr>
        <w:tabs>
          <w:tab w:val="left" w:pos="432"/>
        </w:tabs>
        <w:spacing w:after="120" w:line="360" w:lineRule="auto"/>
        <w:jc w:val="both"/>
        <w:rPr>
          <w:rFonts w:ascii="Arial" w:eastAsia="Arial" w:hAnsi="Arial" w:cs="Arial"/>
          <w:color w:val="010000"/>
          <w:sz w:val="20"/>
          <w:szCs w:val="20"/>
        </w:rPr>
      </w:pPr>
      <w:r w:rsidRPr="00A02B6D">
        <w:rPr>
          <w:rFonts w:ascii="Arial" w:hAnsi="Arial" w:cs="Arial"/>
          <w:color w:val="010000"/>
          <w:sz w:val="20"/>
        </w:rPr>
        <w:t>‎‎Article 15. This General Mandate takes effect from April 10, 20</w:t>
      </w:r>
      <w:r w:rsidR="00702C6B">
        <w:rPr>
          <w:rFonts w:ascii="Arial" w:hAnsi="Arial" w:cs="Arial"/>
          <w:color w:val="010000"/>
          <w:sz w:val="20"/>
        </w:rPr>
        <w:t xml:space="preserve">24. The Board of Directors, </w:t>
      </w:r>
      <w:bookmarkStart w:id="0" w:name="_GoBack"/>
      <w:bookmarkEnd w:id="0"/>
      <w:r w:rsidRPr="00A02B6D">
        <w:rPr>
          <w:rFonts w:ascii="Arial" w:hAnsi="Arial" w:cs="Arial"/>
          <w:color w:val="010000"/>
          <w:sz w:val="20"/>
        </w:rPr>
        <w:t>Executive Manager and all shareholders of the Company are responsible for implementing this General Mandate.</w:t>
      </w:r>
    </w:p>
    <w:sectPr w:rsidR="00422110" w:rsidRPr="003A75A3" w:rsidSect="003A75A3">
      <w:pgSz w:w="11907" w:h="16839"/>
      <w:pgMar w:top="1440" w:right="1440" w:bottom="1440" w:left="1440" w:header="0" w:footer="3" w:gutter="0"/>
      <w:pgNumType w:start="1"/>
      <w:cols w:space="720"/>
      <w:docGrid w:linePitch="3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Noto Sans Symbols">
    <w:altName w:val="Calibri"/>
    <w:charset w:val="00"/>
    <w:family w:val="auto"/>
    <w:pitch w:val="default"/>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Yu Mincho">
    <w:altName w:val="游明朝"/>
    <w:charset w:val="80"/>
    <w:family w:val="roman"/>
    <w:pitch w:val="variable"/>
    <w:sig w:usb0="800002E7" w:usb1="2AC7FCFF" w:usb2="00000012" w:usb3="00000000" w:csb0="000200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A67DA8"/>
    <w:multiLevelType w:val="multilevel"/>
    <w:tmpl w:val="F7CE3AB0"/>
    <w:lvl w:ilvl="0">
      <w:start w:val="1"/>
      <w:numFmt w:val="bullet"/>
      <w:lvlText w:val="-"/>
      <w:lvlJc w:val="left"/>
      <w:pPr>
        <w:ind w:left="720" w:hanging="360"/>
      </w:pPr>
      <w:rPr>
        <w:rFonts w:ascii="Arial" w:eastAsia="Arial" w:hAnsi="Arial" w:cs="Arial"/>
        <w:b w:val="0"/>
        <w:i w:val="0"/>
        <w:sz w:val="20"/>
      </w:rPr>
    </w:lvl>
    <w:lvl w:ilvl="1">
      <w:start w:val="1"/>
      <w:numFmt w:val="bullet"/>
      <w:lvlText w:val="o"/>
      <w:lvlJc w:val="left"/>
      <w:pPr>
        <w:ind w:left="1440" w:hanging="360"/>
      </w:pPr>
      <w:rPr>
        <w:rFonts w:ascii="Courier New" w:eastAsia="Courier New" w:hAnsi="Courier New" w:cs="Courier New"/>
        <w:b w:val="0"/>
        <w:i w:val="0"/>
        <w:sz w:val="20"/>
      </w:rPr>
    </w:lvl>
    <w:lvl w:ilvl="2">
      <w:start w:val="1"/>
      <w:numFmt w:val="bullet"/>
      <w:lvlText w:val="▪"/>
      <w:lvlJc w:val="left"/>
      <w:pPr>
        <w:ind w:left="2160" w:hanging="360"/>
      </w:pPr>
      <w:rPr>
        <w:rFonts w:ascii="Noto Sans Symbols" w:eastAsia="Noto Sans Symbols" w:hAnsi="Noto Sans Symbols" w:cs="Noto Sans Symbols"/>
        <w:b w:val="0"/>
        <w:i w:val="0"/>
        <w:sz w:val="20"/>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167F31E6"/>
    <w:multiLevelType w:val="multilevel"/>
    <w:tmpl w:val="DE505236"/>
    <w:lvl w:ilvl="0">
      <w:start w:val="1"/>
      <w:numFmt w:val="decimal"/>
      <w:lvlText w:val="%1."/>
      <w:lvlJc w:val="left"/>
      <w:pPr>
        <w:ind w:left="390" w:hanging="390"/>
      </w:pPr>
      <w:rPr>
        <w:b w:val="0"/>
        <w:i w:val="0"/>
        <w:sz w:val="20"/>
      </w:rPr>
    </w:lvl>
    <w:lvl w:ilvl="1">
      <w:start w:val="1"/>
      <w:numFmt w:val="decimal"/>
      <w:lvlText w:val="%1.%2."/>
      <w:lvlJc w:val="left"/>
      <w:pPr>
        <w:ind w:left="390" w:hanging="390"/>
      </w:pPr>
      <w:rPr>
        <w:b w:val="0"/>
        <w:i w:val="0"/>
        <w:sz w:val="20"/>
      </w:rPr>
    </w:lvl>
    <w:lvl w:ilvl="2">
      <w:start w:val="1"/>
      <w:numFmt w:val="decimal"/>
      <w:lvlText w:val="%1.%2.%3."/>
      <w:lvlJc w:val="left"/>
      <w:pPr>
        <w:ind w:left="720" w:hanging="720"/>
      </w:pPr>
      <w:rPr>
        <w:b w:val="0"/>
        <w:i w:val="0"/>
        <w:sz w:val="20"/>
      </w:r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2" w15:restartNumberingAfterBreak="0">
    <w:nsid w:val="325C2B01"/>
    <w:multiLevelType w:val="multilevel"/>
    <w:tmpl w:val="EFAE7D48"/>
    <w:lvl w:ilvl="0">
      <w:start w:val="1"/>
      <w:numFmt w:val="bullet"/>
      <w:lvlText w:val="-"/>
      <w:lvlJc w:val="left"/>
      <w:pPr>
        <w:ind w:left="0" w:firstLine="0"/>
      </w:pPr>
      <w:rPr>
        <w:rFonts w:ascii="Arial" w:eastAsia="Arial" w:hAnsi="Arial" w:cs="Arial"/>
        <w:b w:val="0"/>
        <w:i w:val="0"/>
        <w:smallCaps w:val="0"/>
        <w:strike w:val="0"/>
        <w:color w:val="4F565A"/>
        <w:sz w:val="20"/>
        <w:szCs w:val="20"/>
        <w:u w:val="none"/>
        <w:shd w:val="clear" w:color="auto" w:fill="auto"/>
        <w:vertAlign w:val="baseline"/>
      </w:rPr>
    </w:lvl>
    <w:lvl w:ilvl="1">
      <w:numFmt w:val="decimal"/>
      <w:lvlText w:val=""/>
      <w:lvlJc w:val="left"/>
      <w:pPr>
        <w:ind w:left="0" w:firstLine="0"/>
      </w:pPr>
      <w:rPr>
        <w:rFonts w:ascii="Arial" w:eastAsia="Arial" w:hAnsi="Arial" w:cs="Arial"/>
        <w:b w:val="0"/>
        <w:i w:val="0"/>
        <w:sz w:val="20"/>
        <w:szCs w:val="20"/>
      </w:rPr>
    </w:lvl>
    <w:lvl w:ilvl="2">
      <w:numFmt w:val="decimal"/>
      <w:lvlText w:val=""/>
      <w:lvlJc w:val="left"/>
      <w:pPr>
        <w:ind w:left="0" w:firstLine="0"/>
      </w:pPr>
      <w:rPr>
        <w:rFonts w:ascii="Arial" w:eastAsia="Arial" w:hAnsi="Arial" w:cs="Arial"/>
        <w:b w:val="0"/>
        <w:i w:val="0"/>
        <w:sz w:val="20"/>
        <w:szCs w:val="20"/>
      </w:r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3" w15:restartNumberingAfterBreak="0">
    <w:nsid w:val="6CF3701C"/>
    <w:multiLevelType w:val="multilevel"/>
    <w:tmpl w:val="3A7E7C88"/>
    <w:lvl w:ilvl="0">
      <w:start w:val="1"/>
      <w:numFmt w:val="bullet"/>
      <w:lvlText w:val="+"/>
      <w:lvlJc w:val="left"/>
      <w:pPr>
        <w:ind w:left="720" w:hanging="360"/>
      </w:pPr>
      <w:rPr>
        <w:rFonts w:ascii="Noto Sans Symbols" w:eastAsia="Noto Sans Symbols" w:hAnsi="Noto Sans Symbols" w:cs="Noto Sans Symbols"/>
        <w:b w:val="0"/>
        <w:i w:val="0"/>
        <w:sz w:val="20"/>
      </w:rPr>
    </w:lvl>
    <w:lvl w:ilvl="1">
      <w:start w:val="1"/>
      <w:numFmt w:val="bullet"/>
      <w:lvlText w:val="o"/>
      <w:lvlJc w:val="left"/>
      <w:pPr>
        <w:ind w:left="1440" w:hanging="360"/>
      </w:pPr>
      <w:rPr>
        <w:rFonts w:ascii="Courier New" w:eastAsia="Courier New" w:hAnsi="Courier New" w:cs="Courier New"/>
        <w:b w:val="0"/>
        <w:i w:val="0"/>
        <w:sz w:val="20"/>
      </w:rPr>
    </w:lvl>
    <w:lvl w:ilvl="2">
      <w:start w:val="1"/>
      <w:numFmt w:val="bullet"/>
      <w:lvlText w:val="▪"/>
      <w:lvlJc w:val="left"/>
      <w:pPr>
        <w:ind w:left="2160" w:hanging="360"/>
      </w:pPr>
      <w:rPr>
        <w:rFonts w:ascii="Noto Sans Symbols" w:eastAsia="Noto Sans Symbols" w:hAnsi="Noto Sans Symbols" w:cs="Noto Sans Symbols"/>
        <w:b w:val="0"/>
        <w:i w:val="0"/>
        <w:sz w:val="20"/>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3"/>
  </w:num>
  <w:num w:numId="2">
    <w:abstractNumId w:val="1"/>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22110"/>
    <w:rsid w:val="003A75A3"/>
    <w:rsid w:val="00422110"/>
    <w:rsid w:val="00702C6B"/>
    <w:rsid w:val="00A02B6D"/>
    <w:rsid w:val="00A02E1D"/>
    <w:rsid w:val="00CE2F2D"/>
    <w:rsid w:val="00E95C8B"/>
  </w:rsids>
  <m:mathPr>
    <m:mathFont m:val="Cambria Math"/>
    <m:brkBin m:val="before"/>
    <m:brkBinSub m:val="--"/>
    <m:smallFrac m:val="0"/>
    <m:dispDef/>
    <m:lMargin m:val="0"/>
    <m:rMargin m:val="0"/>
    <m:defJc m:val="centerGroup"/>
    <m:wrapIndent m:val="1440"/>
    <m:intLim m:val="subSup"/>
    <m:naryLim m:val="undOvr"/>
  </m:mathPr>
  <w:themeFontLang w:val="vi-VN"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55070D0"/>
  <w15:docId w15:val="{C4F69038-99FD-4D07-9DFC-6A80642F7A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ourier New" w:eastAsia="Courier New" w:hAnsi="Courier New" w:cs="Courier New"/>
        <w:sz w:val="24"/>
        <w:szCs w:val="24"/>
        <w:lang w:val="en-US" w:eastAsia="ja-JP" w:bidi="ar-SA"/>
      </w:rPr>
    </w:rPrDefault>
    <w:pPrDefault>
      <w:pPr>
        <w:widowControl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color w:val="000000"/>
    </w:rPr>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character" w:customStyle="1" w:styleId="Vnbnnidung2">
    <w:name w:val="Văn bản nội dung (2)_"/>
    <w:basedOn w:val="DefaultParagraphFont"/>
    <w:link w:val="Vnbnnidung20"/>
    <w:rPr>
      <w:rFonts w:ascii="Times New Roman" w:eastAsia="Times New Roman" w:hAnsi="Times New Roman" w:cs="Times New Roman"/>
      <w:b w:val="0"/>
      <w:bCs w:val="0"/>
      <w:i w:val="0"/>
      <w:iCs w:val="0"/>
      <w:smallCaps w:val="0"/>
      <w:strike w:val="0"/>
      <w:sz w:val="22"/>
      <w:szCs w:val="22"/>
      <w:u w:val="none"/>
      <w:shd w:val="clear" w:color="auto" w:fill="auto"/>
    </w:rPr>
  </w:style>
  <w:style w:type="character" w:customStyle="1" w:styleId="Vnbnnidung">
    <w:name w:val="Văn bản nội dung_"/>
    <w:basedOn w:val="DefaultParagraphFont"/>
    <w:link w:val="Vnbnnidung0"/>
    <w:rPr>
      <w:rFonts w:ascii="Times New Roman" w:eastAsia="Times New Roman" w:hAnsi="Times New Roman" w:cs="Times New Roman"/>
      <w:b w:val="0"/>
      <w:bCs w:val="0"/>
      <w:i w:val="0"/>
      <w:iCs w:val="0"/>
      <w:smallCaps w:val="0"/>
      <w:strike w:val="0"/>
      <w:sz w:val="26"/>
      <w:szCs w:val="26"/>
      <w:u w:val="none"/>
      <w:shd w:val="clear" w:color="auto" w:fill="auto"/>
    </w:rPr>
  </w:style>
  <w:style w:type="character" w:customStyle="1" w:styleId="Tiu1">
    <w:name w:val="Tiêu đề #1_"/>
    <w:basedOn w:val="DefaultParagraphFont"/>
    <w:link w:val="Tiu10"/>
    <w:rPr>
      <w:rFonts w:ascii="Times New Roman" w:eastAsia="Times New Roman" w:hAnsi="Times New Roman" w:cs="Times New Roman"/>
      <w:b/>
      <w:bCs/>
      <w:i w:val="0"/>
      <w:iCs w:val="0"/>
      <w:smallCaps w:val="0"/>
      <w:strike w:val="0"/>
      <w:color w:val="4F565A"/>
      <w:sz w:val="26"/>
      <w:szCs w:val="26"/>
      <w:u w:val="none"/>
      <w:shd w:val="clear" w:color="auto" w:fill="auto"/>
    </w:rPr>
  </w:style>
  <w:style w:type="character" w:customStyle="1" w:styleId="Vnbnnidung4">
    <w:name w:val="Văn bản nội dung (4)_"/>
    <w:basedOn w:val="DefaultParagraphFont"/>
    <w:link w:val="Vnbnnidung40"/>
    <w:rPr>
      <w:rFonts w:ascii="Times New Roman" w:eastAsia="Times New Roman" w:hAnsi="Times New Roman" w:cs="Times New Roman"/>
      <w:b w:val="0"/>
      <w:bCs w:val="0"/>
      <w:i w:val="0"/>
      <w:iCs w:val="0"/>
      <w:smallCaps w:val="0"/>
      <w:strike w:val="0"/>
      <w:color w:val="FF0000"/>
      <w:sz w:val="10"/>
      <w:szCs w:val="10"/>
      <w:u w:val="none"/>
      <w:shd w:val="clear" w:color="auto" w:fill="auto"/>
    </w:rPr>
  </w:style>
  <w:style w:type="character" w:customStyle="1" w:styleId="Vnbnnidung3">
    <w:name w:val="Văn bản nội dung (3)_"/>
    <w:basedOn w:val="DefaultParagraphFont"/>
    <w:link w:val="Vnbnnidung30"/>
    <w:rPr>
      <w:rFonts w:ascii="Times New Roman" w:eastAsia="Times New Roman" w:hAnsi="Times New Roman" w:cs="Times New Roman"/>
      <w:b w:val="0"/>
      <w:bCs w:val="0"/>
      <w:i w:val="0"/>
      <w:iCs w:val="0"/>
      <w:smallCaps w:val="0"/>
      <w:strike w:val="0"/>
      <w:color w:val="FF0000"/>
      <w:sz w:val="14"/>
      <w:szCs w:val="14"/>
      <w:u w:val="none"/>
      <w:shd w:val="clear" w:color="auto" w:fill="auto"/>
    </w:rPr>
  </w:style>
  <w:style w:type="character" w:customStyle="1" w:styleId="Vnbnnidung5">
    <w:name w:val="Văn bản nội dung (5)_"/>
    <w:basedOn w:val="DefaultParagraphFont"/>
    <w:link w:val="Vnbnnidung50"/>
    <w:rPr>
      <w:rFonts w:ascii="Calibri" w:eastAsia="Calibri" w:hAnsi="Calibri" w:cs="Calibri"/>
      <w:b w:val="0"/>
      <w:bCs w:val="0"/>
      <w:i w:val="0"/>
      <w:iCs w:val="0"/>
      <w:smallCaps w:val="0"/>
      <w:strike w:val="0"/>
      <w:color w:val="EA7985"/>
      <w:sz w:val="20"/>
      <w:szCs w:val="20"/>
      <w:u w:val="none"/>
      <w:shd w:val="clear" w:color="auto" w:fill="auto"/>
    </w:rPr>
  </w:style>
  <w:style w:type="character" w:customStyle="1" w:styleId="Chthchbng">
    <w:name w:val="Chú thích bảng_"/>
    <w:basedOn w:val="DefaultParagraphFont"/>
    <w:link w:val="Chthchbng0"/>
    <w:rPr>
      <w:rFonts w:ascii="Times New Roman" w:eastAsia="Times New Roman" w:hAnsi="Times New Roman" w:cs="Times New Roman"/>
      <w:b w:val="0"/>
      <w:bCs w:val="0"/>
      <w:i w:val="0"/>
      <w:iCs w:val="0"/>
      <w:smallCaps w:val="0"/>
      <w:strike w:val="0"/>
      <w:sz w:val="26"/>
      <w:szCs w:val="26"/>
      <w:u w:val="none"/>
      <w:shd w:val="clear" w:color="auto" w:fill="auto"/>
    </w:rPr>
  </w:style>
  <w:style w:type="character" w:customStyle="1" w:styleId="Khc">
    <w:name w:val="Khác_"/>
    <w:basedOn w:val="DefaultParagraphFont"/>
    <w:link w:val="Khc0"/>
    <w:rPr>
      <w:rFonts w:ascii="Times New Roman" w:eastAsia="Times New Roman" w:hAnsi="Times New Roman" w:cs="Times New Roman"/>
      <w:b w:val="0"/>
      <w:bCs w:val="0"/>
      <w:i w:val="0"/>
      <w:iCs w:val="0"/>
      <w:smallCaps w:val="0"/>
      <w:strike w:val="0"/>
      <w:sz w:val="26"/>
      <w:szCs w:val="26"/>
      <w:u w:val="none"/>
      <w:shd w:val="clear" w:color="auto" w:fill="auto"/>
    </w:rPr>
  </w:style>
  <w:style w:type="paragraph" w:customStyle="1" w:styleId="Vnbnnidung20">
    <w:name w:val="Văn bản nội dung (2)"/>
    <w:basedOn w:val="Normal"/>
    <w:link w:val="Vnbnnidung2"/>
    <w:pPr>
      <w:ind w:left="1380"/>
    </w:pPr>
    <w:rPr>
      <w:rFonts w:ascii="Times New Roman" w:eastAsia="Times New Roman" w:hAnsi="Times New Roman" w:cs="Times New Roman"/>
      <w:sz w:val="22"/>
      <w:szCs w:val="22"/>
    </w:rPr>
  </w:style>
  <w:style w:type="paragraph" w:customStyle="1" w:styleId="Vnbnnidung0">
    <w:name w:val="Văn bản nội dung"/>
    <w:basedOn w:val="Normal"/>
    <w:link w:val="Vnbnnidung"/>
    <w:pPr>
      <w:ind w:firstLine="400"/>
    </w:pPr>
    <w:rPr>
      <w:rFonts w:ascii="Times New Roman" w:eastAsia="Times New Roman" w:hAnsi="Times New Roman" w:cs="Times New Roman"/>
      <w:sz w:val="26"/>
      <w:szCs w:val="26"/>
    </w:rPr>
  </w:style>
  <w:style w:type="paragraph" w:customStyle="1" w:styleId="Tiu10">
    <w:name w:val="Tiêu đề #1"/>
    <w:basedOn w:val="Normal"/>
    <w:link w:val="Tiu1"/>
    <w:pPr>
      <w:jc w:val="center"/>
      <w:outlineLvl w:val="0"/>
    </w:pPr>
    <w:rPr>
      <w:rFonts w:ascii="Times New Roman" w:eastAsia="Times New Roman" w:hAnsi="Times New Roman" w:cs="Times New Roman"/>
      <w:b/>
      <w:bCs/>
      <w:color w:val="4F565A"/>
      <w:sz w:val="26"/>
      <w:szCs w:val="26"/>
    </w:rPr>
  </w:style>
  <w:style w:type="paragraph" w:customStyle="1" w:styleId="Vnbnnidung40">
    <w:name w:val="Văn bản nội dung (4)"/>
    <w:basedOn w:val="Normal"/>
    <w:link w:val="Vnbnnidung4"/>
    <w:rPr>
      <w:rFonts w:ascii="Times New Roman" w:eastAsia="Times New Roman" w:hAnsi="Times New Roman" w:cs="Times New Roman"/>
      <w:color w:val="FF0000"/>
      <w:sz w:val="10"/>
      <w:szCs w:val="10"/>
    </w:rPr>
  </w:style>
  <w:style w:type="paragraph" w:customStyle="1" w:styleId="Vnbnnidung30">
    <w:name w:val="Văn bản nội dung (3)"/>
    <w:basedOn w:val="Normal"/>
    <w:link w:val="Vnbnnidung3"/>
    <w:pPr>
      <w:spacing w:line="228" w:lineRule="auto"/>
    </w:pPr>
    <w:rPr>
      <w:rFonts w:ascii="Times New Roman" w:eastAsia="Times New Roman" w:hAnsi="Times New Roman" w:cs="Times New Roman"/>
      <w:color w:val="FF0000"/>
      <w:sz w:val="14"/>
      <w:szCs w:val="14"/>
    </w:rPr>
  </w:style>
  <w:style w:type="paragraph" w:customStyle="1" w:styleId="Vnbnnidung50">
    <w:name w:val="Văn bản nội dung (5)"/>
    <w:basedOn w:val="Normal"/>
    <w:link w:val="Vnbnnidung5"/>
    <w:rPr>
      <w:rFonts w:ascii="Calibri" w:eastAsia="Calibri" w:hAnsi="Calibri" w:cs="Calibri"/>
      <w:color w:val="EA7985"/>
      <w:sz w:val="20"/>
      <w:szCs w:val="20"/>
    </w:rPr>
  </w:style>
  <w:style w:type="paragraph" w:customStyle="1" w:styleId="Chthchbng0">
    <w:name w:val="Chú thích bảng"/>
    <w:basedOn w:val="Normal"/>
    <w:link w:val="Chthchbng"/>
    <w:pPr>
      <w:ind w:firstLine="480"/>
    </w:pPr>
    <w:rPr>
      <w:rFonts w:ascii="Times New Roman" w:eastAsia="Times New Roman" w:hAnsi="Times New Roman" w:cs="Times New Roman"/>
      <w:sz w:val="26"/>
      <w:szCs w:val="26"/>
    </w:rPr>
  </w:style>
  <w:style w:type="paragraph" w:customStyle="1" w:styleId="Khc0">
    <w:name w:val="Khác"/>
    <w:basedOn w:val="Normal"/>
    <w:link w:val="Khc"/>
    <w:pPr>
      <w:ind w:firstLine="400"/>
    </w:pPr>
    <w:rPr>
      <w:rFonts w:ascii="Times New Roman" w:eastAsia="Times New Roman" w:hAnsi="Times New Roman" w:cs="Times New Roman"/>
      <w:sz w:val="26"/>
      <w:szCs w:val="26"/>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0" w:type="dxa"/>
        <w:right w:w="10" w:type="dxa"/>
      </w:tblCellMar>
    </w:tblPr>
  </w:style>
  <w:style w:type="table" w:customStyle="1" w:styleId="a0">
    <w:basedOn w:val="TableNormal"/>
    <w:tblPr>
      <w:tblStyleRowBandSize w:val="1"/>
      <w:tblStyleColBandSize w:val="1"/>
      <w:tblCellMar>
        <w:left w:w="10" w:type="dxa"/>
        <w:right w:w="10" w:type="dxa"/>
      </w:tblCellMar>
    </w:tblPr>
  </w:style>
  <w:style w:type="table" w:customStyle="1" w:styleId="a1">
    <w:basedOn w:val="TableNormal"/>
    <w:tblPr>
      <w:tblStyleRowBandSize w:val="1"/>
      <w:tblStyleColBandSize w:val="1"/>
      <w:tblCellMar>
        <w:left w:w="10" w:type="dxa"/>
        <w:right w:w="1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16DgUj3/1chkLZM8WTJsMQdKZXg==">CgMxLjA4AHIhMTNacmtVRVdIUGJ4SkJzejdrd1BQNHNfcUYtNzV2SVpl</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585</Words>
  <Characters>3338</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Nguyen Duc Quan</dc:creator>
  <cp:lastModifiedBy>Nguyen Duc Quan</cp:lastModifiedBy>
  <cp:revision>2</cp:revision>
  <dcterms:created xsi:type="dcterms:W3CDTF">2024-04-22T04:30:00Z</dcterms:created>
  <dcterms:modified xsi:type="dcterms:W3CDTF">2024-04-22T04:30:00Z</dcterms:modified>
</cp:coreProperties>
</file>