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6EEE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VCE: Annual General Mandate</w:t>
      </w:r>
    </w:p>
    <w:p w14:paraId="65E985B0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16, 2024, </w:t>
      </w:r>
      <w:proofErr w:type="spellStart"/>
      <w:r>
        <w:rPr>
          <w:rFonts w:ascii="Arial" w:hAnsi="Arial"/>
          <w:color w:val="010000"/>
          <w:sz w:val="20"/>
        </w:rPr>
        <w:t>Vinacomin</w:t>
      </w:r>
      <w:proofErr w:type="spellEnd"/>
      <w:r>
        <w:rPr>
          <w:rFonts w:ascii="Arial" w:hAnsi="Arial"/>
          <w:color w:val="010000"/>
          <w:sz w:val="20"/>
        </w:rPr>
        <w:t xml:space="preserve"> - Construction environment joint stock company announced General Mandate No. 01/2024/NQ/DHDCD-VCE as follows: </w:t>
      </w:r>
    </w:p>
    <w:p w14:paraId="4ABA99FD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report on the production and business results 2023 and production and business plan 2024 with</w:t>
      </w:r>
      <w:r>
        <w:rPr>
          <w:rFonts w:ascii="Arial" w:hAnsi="Arial"/>
          <w:color w:val="010000"/>
          <w:sz w:val="20"/>
        </w:rPr>
        <w:t xml:space="preserve"> some main contents as follows:</w:t>
      </w:r>
    </w:p>
    <w:p w14:paraId="73B24BB5" w14:textId="77777777" w:rsidR="00893C8E" w:rsidRDefault="005256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Production and Business Activities 2023.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703"/>
        <w:gridCol w:w="2774"/>
        <w:gridCol w:w="1262"/>
        <w:gridCol w:w="1573"/>
        <w:gridCol w:w="1105"/>
        <w:gridCol w:w="1600"/>
      </w:tblGrid>
      <w:tr w:rsidR="00893C8E" w14:paraId="7C4D2C88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F65E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602A6" w14:textId="48FE2481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07411" w14:textId="6688C73E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1A13E" w14:textId="0AD02DCA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3A509" w14:textId="08E231AD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181E" w14:textId="0EDE9F25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 to that in</w:t>
            </w:r>
            <w:r>
              <w:rPr>
                <w:rFonts w:ascii="Arial" w:hAnsi="Arial"/>
                <w:color w:val="010000"/>
                <w:sz w:val="20"/>
              </w:rPr>
              <w:t xml:space="preserve"> yearly plan</w:t>
            </w:r>
          </w:p>
        </w:tc>
      </w:tr>
      <w:tr w:rsidR="00893C8E" w14:paraId="080ABD4B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B2645A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C0AFC7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245263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798BC9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48678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8B61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570.88%</w:t>
            </w:r>
          </w:p>
        </w:tc>
      </w:tr>
      <w:tr w:rsidR="00893C8E" w14:paraId="25883BCE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C8A70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27BA43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Expenses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21726E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FDADA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EB9E76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2,064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D05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157.81%</w:t>
            </w:r>
          </w:p>
        </w:tc>
      </w:tr>
      <w:tr w:rsidR="00893C8E" w14:paraId="4609E781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B1444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56B05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174B19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A8E555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-1,103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2D342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-894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5B99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81.04%</w:t>
            </w:r>
          </w:p>
        </w:tc>
      </w:tr>
      <w:tr w:rsidR="00893C8E" w14:paraId="196E6841" w14:textId="7777777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03216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  <w:p w14:paraId="6425F2B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DE39F1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61A100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A5DA9" w14:textId="77777777" w:rsidR="00893C8E" w:rsidRDefault="00893C8E">
            <w:pP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97DC03" w14:textId="77777777" w:rsidR="00893C8E" w:rsidRDefault="00893C8E">
            <w:pP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1ABB" w14:textId="77777777" w:rsidR="00893C8E" w:rsidRDefault="00893C8E">
            <w:pP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93C8E" w14:paraId="05AC61BD" w14:textId="7777777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243E1" w14:textId="77777777" w:rsidR="00893C8E" w:rsidRDefault="0089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2E667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1DEB2F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D46E40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-1,103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96509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-894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55D4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81.04%</w:t>
            </w:r>
          </w:p>
        </w:tc>
      </w:tr>
      <w:tr w:rsidR="00893C8E" w14:paraId="2E6DB449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3A38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56C7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tax/ owners' equity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E15E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9B28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-2.21%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165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-1.79%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B68B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63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81.04%</w:t>
            </w:r>
          </w:p>
        </w:tc>
      </w:tr>
    </w:tbl>
    <w:p w14:paraId="41AA1A6E" w14:textId="77777777" w:rsidR="00893C8E" w:rsidRDefault="005256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2024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629"/>
        <w:gridCol w:w="4361"/>
        <w:gridCol w:w="1904"/>
        <w:gridCol w:w="2123"/>
      </w:tblGrid>
      <w:tr w:rsidR="00893C8E" w14:paraId="463AEB10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C4B37F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26D831" w14:textId="281803E9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40AD76" w14:textId="3C5ADA0F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63A7" w14:textId="68F5373E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893C8E" w14:paraId="64B726E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58A625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EAB169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A4C610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2123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85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</w:t>
            </w:r>
          </w:p>
        </w:tc>
      </w:tr>
      <w:tr w:rsidR="00893C8E" w14:paraId="5FDFD3C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D9C41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404600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Expenses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CA466A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373C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85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1,199</w:t>
            </w:r>
          </w:p>
        </w:tc>
      </w:tr>
      <w:tr w:rsidR="00893C8E" w14:paraId="4A099581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BA6F3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D07A37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ED63D4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794F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85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-809</w:t>
            </w:r>
          </w:p>
        </w:tc>
      </w:tr>
      <w:tr w:rsidR="00893C8E" w14:paraId="747209D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94C7A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7E3A0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A43BFA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D144" w14:textId="77777777" w:rsidR="00893C8E" w:rsidRDefault="00893C8E">
            <w:pPr>
              <w:spacing w:after="120" w:line="360" w:lineRule="auto"/>
              <w:ind w:right="85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93C8E" w14:paraId="70329A43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C19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757B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65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DA88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6DFE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85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-809</w:t>
            </w:r>
          </w:p>
        </w:tc>
      </w:tr>
    </w:tbl>
    <w:p w14:paraId="6054F93E" w14:textId="77777777" w:rsidR="00893C8E" w:rsidRDefault="00525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Main contents of the production and business plan 2024</w:t>
      </w:r>
    </w:p>
    <w:p w14:paraId="36EAB7EF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Currently, the Company's machinery and equipment fully depreciated and are experiencing significant breakdowns.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On the other hand, the machinery and equipment cannot be leased out due to their unsuitab</w:t>
      </w:r>
      <w:r>
        <w:rPr>
          <w:rFonts w:ascii="Arial" w:hAnsi="Arial"/>
          <w:color w:val="010000"/>
          <w:sz w:val="20"/>
        </w:rPr>
        <w:t>ility for the current construction conditions, leading to inefficiencies in equipment utilization.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Therefore, the company will proceed with the disposal of the non-performing equipment to recover capital, and authorize the task to the Manager to execute th</w:t>
      </w:r>
      <w:r>
        <w:rPr>
          <w:rFonts w:ascii="Arial" w:hAnsi="Arial"/>
          <w:color w:val="010000"/>
          <w:sz w:val="20"/>
        </w:rPr>
        <w:t>e disposal in accordance with legal regulations.</w:t>
      </w:r>
    </w:p>
    <w:p w14:paraId="659F21B1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Audited Financial Statements 2023.</w:t>
      </w:r>
    </w:p>
    <w:p w14:paraId="24DC6349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Approve the Report on activities of the Board of Directors in 2023 and the plan for 2024.</w:t>
      </w:r>
    </w:p>
    <w:p w14:paraId="35D9B525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report on activities of t</w:t>
      </w:r>
      <w:r>
        <w:rPr>
          <w:rFonts w:ascii="Arial" w:hAnsi="Arial"/>
          <w:color w:val="010000"/>
          <w:sz w:val="20"/>
        </w:rPr>
        <w:t>he Supervisory Board in 2023.</w:t>
      </w:r>
    </w:p>
    <w:p w14:paraId="7C072D2C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</w:t>
      </w:r>
      <w:r>
        <w:rPr>
          <w:rFonts w:ascii="Arial" w:hAnsi="Arial"/>
          <w:color w:val="010000"/>
          <w:sz w:val="20"/>
        </w:rPr>
        <w:t xml:space="preserve">Approve the remuneration fund for the Board of Directors and the Supervisory Board in 2023 </w:t>
      </w:r>
      <w:r>
        <w:rPr>
          <w:rFonts w:ascii="Arial" w:hAnsi="Arial"/>
          <w:color w:val="010000"/>
          <w:sz w:val="20"/>
        </w:rPr>
        <w:lastRenderedPageBreak/>
        <w:t>and the remuneration payment plan for the Board of Directors and the Supervisory Board for 2024.</w:t>
      </w:r>
    </w:p>
    <w:p w14:paraId="3A5CDDEE" w14:textId="77777777" w:rsidR="00893C8E" w:rsidRDefault="005256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Remuneration of the Board of Directors and the Supervisory Board in </w:t>
      </w:r>
      <w:r>
        <w:rPr>
          <w:rFonts w:ascii="Arial" w:hAnsi="Arial"/>
          <w:color w:val="010000"/>
          <w:sz w:val="20"/>
        </w:rPr>
        <w:t>2023 is VND 96,000,000</w:t>
      </w:r>
    </w:p>
    <w:p w14:paraId="17BAD180" w14:textId="77777777" w:rsidR="00893C8E" w:rsidRDefault="005256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remuneration of the Board of Directors and Supervisory Board in 2024:</w:t>
      </w:r>
    </w:p>
    <w:p w14:paraId="7503CD66" w14:textId="77777777" w:rsidR="00893C8E" w:rsidRDefault="0052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Chair of the Board of Directors: VND 1,000,000/month</w:t>
      </w:r>
    </w:p>
    <w:p w14:paraId="2DEBC136" w14:textId="77777777" w:rsidR="00893C8E" w:rsidRDefault="0052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 and the Supervisory Board: VND 1,000,000/month</w:t>
      </w:r>
      <w:r>
        <w:rPr>
          <w:rFonts w:ascii="Arial" w:hAnsi="Arial"/>
          <w:color w:val="010000"/>
          <w:sz w:val="20"/>
        </w:rPr>
        <w:br/>
        <w:t>Total remuneration of the Board of Directors and Supervisory Board in 2024 is VND 96,000,000.</w:t>
      </w:r>
    </w:p>
    <w:p w14:paraId="485FF189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6: </w:t>
      </w:r>
      <w:r>
        <w:rPr>
          <w:rFonts w:ascii="Arial" w:hAnsi="Arial"/>
          <w:color w:val="010000"/>
          <w:sz w:val="20"/>
        </w:rPr>
        <w:t>Approve the selection of an independent audit company for the Financia</w:t>
      </w:r>
      <w:r>
        <w:rPr>
          <w:rFonts w:ascii="Arial" w:hAnsi="Arial"/>
          <w:color w:val="010000"/>
          <w:sz w:val="20"/>
        </w:rPr>
        <w:t>l Statements 2024</w:t>
      </w:r>
    </w:p>
    <w:p w14:paraId="23C1E219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 assigned and authorized the Board of Directors to select a qualified independent auditing company to audit listed company to audit the Company's Financial Statements 2024 as follows:</w:t>
      </w:r>
    </w:p>
    <w:p w14:paraId="600B9DF1" w14:textId="77777777" w:rsidR="00893C8E" w:rsidRDefault="005256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AFC Accounting and </w:t>
      </w:r>
      <w:r>
        <w:rPr>
          <w:rFonts w:ascii="Arial" w:hAnsi="Arial"/>
          <w:color w:val="010000"/>
          <w:sz w:val="20"/>
        </w:rPr>
        <w:t>Financial Consulting Auditing Company Limited</w:t>
      </w:r>
    </w:p>
    <w:p w14:paraId="38B6FD9E" w14:textId="77777777" w:rsidR="00893C8E" w:rsidRDefault="005256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A&amp;C Auditing and Consulting Company Limited Article 7: Approve the Profit distribution plan for 2023.</w:t>
      </w:r>
    </w:p>
    <w:p w14:paraId="5F2C72C9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 approved the profit distribution plan for 2024 as follows: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934"/>
      </w:tblGrid>
      <w:tr w:rsidR="00893C8E" w14:paraId="3824BBB0" w14:textId="77777777">
        <w:tc>
          <w:tcPr>
            <w:tcW w:w="7083" w:type="dxa"/>
          </w:tcPr>
          <w:p w14:paraId="473C616F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934" w:type="dxa"/>
          </w:tcPr>
          <w:p w14:paraId="7272C60C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893C8E" w14:paraId="335AE763" w14:textId="77777777">
        <w:tc>
          <w:tcPr>
            <w:tcW w:w="7083" w:type="dxa"/>
          </w:tcPr>
          <w:p w14:paraId="74411631" w14:textId="77777777" w:rsidR="00893C8E" w:rsidRDefault="005256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06" w:hanging="283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profit transferred to 2023 (according to the General Mandate of the Annual General Meeting of Shareholders 2023 dated April 27, 2023).</w:t>
            </w:r>
          </w:p>
        </w:tc>
        <w:tc>
          <w:tcPr>
            <w:tcW w:w="1934" w:type="dxa"/>
          </w:tcPr>
          <w:p w14:paraId="7FFD4C09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7,781,405,451</w:t>
            </w:r>
          </w:p>
        </w:tc>
      </w:tr>
      <w:tr w:rsidR="00893C8E" w14:paraId="67B112BB" w14:textId="77777777">
        <w:tc>
          <w:tcPr>
            <w:tcW w:w="7083" w:type="dxa"/>
          </w:tcPr>
          <w:p w14:paraId="416B8D04" w14:textId="77777777" w:rsidR="00893C8E" w:rsidRDefault="005256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06" w:hanging="283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profit after tax generated in 2023 (according to the Audited Financial Statements 2023).</w:t>
            </w:r>
          </w:p>
        </w:tc>
        <w:tc>
          <w:tcPr>
            <w:tcW w:w="1934" w:type="dxa"/>
          </w:tcPr>
          <w:p w14:paraId="560DBA4D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-893</w:t>
            </w:r>
            <w:r>
              <w:rPr>
                <w:rFonts w:ascii="Arial" w:hAnsi="Arial"/>
                <w:color w:val="010000"/>
                <w:sz w:val="20"/>
              </w:rPr>
              <w:t>,901,161</w:t>
            </w:r>
          </w:p>
        </w:tc>
      </w:tr>
      <w:tr w:rsidR="00893C8E" w14:paraId="702D76EE" w14:textId="77777777">
        <w:tc>
          <w:tcPr>
            <w:tcW w:w="7083" w:type="dxa"/>
          </w:tcPr>
          <w:p w14:paraId="0F288C51" w14:textId="77777777" w:rsidR="00893C8E" w:rsidRDefault="005256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06" w:hanging="283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undistributed profits 2023</w:t>
            </w:r>
          </w:p>
        </w:tc>
        <w:tc>
          <w:tcPr>
            <w:tcW w:w="1934" w:type="dxa"/>
          </w:tcPr>
          <w:p w14:paraId="219BC6FC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6,887,504,290</w:t>
            </w:r>
          </w:p>
        </w:tc>
      </w:tr>
      <w:tr w:rsidR="00893C8E" w14:paraId="1E30A50D" w14:textId="77777777">
        <w:tc>
          <w:tcPr>
            <w:tcW w:w="7083" w:type="dxa"/>
          </w:tcPr>
          <w:p w14:paraId="1B3869F2" w14:textId="77777777" w:rsidR="00893C8E" w:rsidRDefault="005256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06" w:hanging="283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expected dividend payment for shareholders is 0% (based on a capital of VND 50 billion)</w:t>
            </w:r>
          </w:p>
        </w:tc>
        <w:tc>
          <w:tcPr>
            <w:tcW w:w="1934" w:type="dxa"/>
          </w:tcPr>
          <w:p w14:paraId="5E452887" w14:textId="77777777" w:rsidR="00893C8E" w:rsidRDefault="0089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93C8E" w14:paraId="3575021E" w14:textId="77777777">
        <w:tc>
          <w:tcPr>
            <w:tcW w:w="7083" w:type="dxa"/>
          </w:tcPr>
          <w:p w14:paraId="4B38ADAD" w14:textId="77777777" w:rsidR="00893C8E" w:rsidRDefault="005256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06" w:hanging="283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profit transferred to 2024</w:t>
            </w:r>
          </w:p>
        </w:tc>
        <w:tc>
          <w:tcPr>
            <w:tcW w:w="1934" w:type="dxa"/>
          </w:tcPr>
          <w:p w14:paraId="586BAA66" w14:textId="77777777" w:rsidR="00893C8E" w:rsidRDefault="0052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6,887,504,290</w:t>
            </w:r>
          </w:p>
        </w:tc>
      </w:tr>
    </w:tbl>
    <w:p w14:paraId="64DF046D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8: </w:t>
      </w:r>
      <w:r>
        <w:rPr>
          <w:rFonts w:ascii="Arial" w:hAnsi="Arial"/>
          <w:color w:val="010000"/>
          <w:sz w:val="20"/>
        </w:rPr>
        <w:t>Authorize the Company's Board of Directors to implement the above work contents.</w:t>
      </w:r>
    </w:p>
    <w:p w14:paraId="5AB9A708" w14:textId="77777777" w:rsidR="00893C8E" w:rsidRDefault="005256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Article 9: The General Mandate takes effect from 11:00 a.m. on April 16, 2024. Relevant units and individuals are responsible for implementing this General Mandate./.</w:t>
      </w:r>
    </w:p>
    <w:sectPr w:rsidR="00893C8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FA3"/>
    <w:multiLevelType w:val="multilevel"/>
    <w:tmpl w:val="157804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F444C9"/>
    <w:multiLevelType w:val="multilevel"/>
    <w:tmpl w:val="3A2AE0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2334FC"/>
    <w:multiLevelType w:val="multilevel"/>
    <w:tmpl w:val="B750FDF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1D19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E2E3D09"/>
    <w:multiLevelType w:val="multilevel"/>
    <w:tmpl w:val="9806B4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9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8506BBA"/>
    <w:multiLevelType w:val="multilevel"/>
    <w:tmpl w:val="2652A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9258A8"/>
    <w:multiLevelType w:val="multilevel"/>
    <w:tmpl w:val="EEDC022A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8E"/>
    <w:rsid w:val="00525651"/>
    <w:rsid w:val="008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6A90"/>
  <w15:docId w15:val="{133F8782-BCC7-4197-A775-E5BACCD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9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926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9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9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926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180"/>
    </w:pPr>
    <w:rPr>
      <w:rFonts w:ascii="Times New Roman" w:eastAsia="Times New Roman" w:hAnsi="Times New Roman" w:cs="Times New Roman"/>
      <w:color w:val="1D1926"/>
    </w:rPr>
  </w:style>
  <w:style w:type="paragraph" w:customStyle="1" w:styleId="Tiu10">
    <w:name w:val="Tiêu đề #1"/>
    <w:basedOn w:val="Normal"/>
    <w:link w:val="Tiu1"/>
    <w:pPr>
      <w:spacing w:line="240" w:lineRule="exact"/>
      <w:ind w:left="1270"/>
      <w:jc w:val="center"/>
      <w:outlineLvl w:val="0"/>
    </w:pPr>
    <w:rPr>
      <w:rFonts w:ascii="Times New Roman" w:eastAsia="Times New Roman" w:hAnsi="Times New Roman" w:cs="Times New Roman"/>
      <w:b/>
      <w:bCs/>
      <w:color w:val="1D1926"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1D1926"/>
    </w:rPr>
  </w:style>
  <w:style w:type="paragraph" w:customStyle="1" w:styleId="Khc0">
    <w:name w:val="Khác"/>
    <w:basedOn w:val="Normal"/>
    <w:link w:val="Khc"/>
    <w:pPr>
      <w:spacing w:line="262" w:lineRule="auto"/>
      <w:ind w:firstLine="180"/>
    </w:pPr>
    <w:rPr>
      <w:rFonts w:ascii="Times New Roman" w:eastAsia="Times New Roman" w:hAnsi="Times New Roman" w:cs="Times New Roman"/>
      <w:color w:val="1D1926"/>
    </w:rPr>
  </w:style>
  <w:style w:type="paragraph" w:customStyle="1" w:styleId="Vnbnnidung40">
    <w:name w:val="Văn bản nội dung (4)"/>
    <w:basedOn w:val="Normal"/>
    <w:link w:val="Vnbnnidung4"/>
    <w:pPr>
      <w:ind w:hanging="90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18" w:lineRule="auto"/>
      <w:ind w:left="-900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ind w:firstLine="360"/>
    </w:pPr>
    <w:rPr>
      <w:rFonts w:ascii="Times New Roman" w:eastAsia="Times New Roman" w:hAnsi="Times New Roman" w:cs="Times New Roman"/>
      <w:i/>
      <w:iCs/>
      <w:color w:val="1D192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43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DB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PW0O98CBfSxII14AuihTG6PVA==">CgMxLjAyCGguZ2pkZ3hzOAByITEzRm5GRWVGRFRSaUNDVWdzYlRmXy02cUhGZUJFX2Z6Zw==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2024-04-17T04:53:00Z</dcterms:created>
  <dcterms:modified xsi:type="dcterms:W3CDTF">2024-04-22T02:40:00Z</dcterms:modified>
</cp:coreProperties>
</file>