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77A6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>
        <w:rPr>
          <w:rFonts w:ascii="Arial" w:hAnsi="Arial"/>
          <w:b/>
          <w:color w:val="010000"/>
          <w:sz w:val="20"/>
        </w:rPr>
        <w:t>VIN: Annual General Mandate 2024</w:t>
      </w:r>
    </w:p>
    <w:p w14:paraId="2F0CCE08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On April 15, 2024, </w:t>
      </w:r>
      <w:proofErr w:type="spellStart"/>
      <w:r>
        <w:rPr>
          <w:rFonts w:ascii="Arial" w:hAnsi="Arial"/>
          <w:color w:val="010000"/>
          <w:sz w:val="20"/>
        </w:rPr>
        <w:t>Vinatrans</w:t>
      </w:r>
      <w:proofErr w:type="spellEnd"/>
      <w:r>
        <w:rPr>
          <w:rFonts w:ascii="Arial" w:hAnsi="Arial"/>
          <w:color w:val="010000"/>
          <w:sz w:val="20"/>
        </w:rPr>
        <w:t xml:space="preserve"> announced General Mandate No. 83/NQ-VIN as follows:</w:t>
      </w:r>
    </w:p>
    <w:p w14:paraId="1948E1A0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1. </w:t>
      </w:r>
      <w:r>
        <w:rPr>
          <w:rFonts w:ascii="Arial" w:hAnsi="Arial"/>
          <w:color w:val="010000"/>
          <w:sz w:val="20"/>
        </w:rPr>
        <w:t xml:space="preserve">Approve the Report of the Board of Directors of </w:t>
      </w:r>
      <w:proofErr w:type="spellStart"/>
      <w:r>
        <w:rPr>
          <w:rFonts w:ascii="Arial" w:hAnsi="Arial"/>
          <w:color w:val="010000"/>
          <w:sz w:val="20"/>
        </w:rPr>
        <w:t>Vinatrans</w:t>
      </w:r>
      <w:proofErr w:type="spellEnd"/>
      <w:r>
        <w:rPr>
          <w:rFonts w:ascii="Arial" w:hAnsi="Arial"/>
          <w:color w:val="010000"/>
          <w:sz w:val="20"/>
        </w:rPr>
        <w:t xml:space="preserve"> submitted to the Annual General Meeting of Shareholders 2024 according to Report No. 72/BC-VIN dated February 26, 2024 of the Company’s Board of Directors.</w:t>
      </w:r>
    </w:p>
    <w:p w14:paraId="1C046D00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Some main targets to be implemented in 202</w:t>
      </w:r>
      <w:r>
        <w:rPr>
          <w:rFonts w:ascii="Arial" w:hAnsi="Arial"/>
          <w:color w:val="010000"/>
          <w:sz w:val="20"/>
        </w:rPr>
        <w:t>3 are as follows:</w:t>
      </w:r>
    </w:p>
    <w:p w14:paraId="70D6637A" w14:textId="77777777" w:rsidR="006406D9" w:rsidRDefault="00D027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center" w:pos="2985"/>
        </w:tabs>
        <w:spacing w:after="120" w:line="360" w:lineRule="auto"/>
        <w:ind w:left="0" w:firstLine="0"/>
        <w:rPr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Net revenue: VND 132.262 billion, equal to 64.52% of the year plan </w:t>
      </w:r>
    </w:p>
    <w:p w14:paraId="6BB32E49" w14:textId="77777777" w:rsidR="006406D9" w:rsidRDefault="00D027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Profit before tax: VND 20.063 billion, equal to 52.80% of the year plan</w:t>
      </w:r>
    </w:p>
    <w:p w14:paraId="5403A72C" w14:textId="77777777" w:rsidR="006406D9" w:rsidRDefault="00D027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Profit after tax: VND 19.118 billion, equal to 60.23% of the year plan</w:t>
      </w:r>
    </w:p>
    <w:p w14:paraId="2B31182E" w14:textId="22B8E038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2. Approve the Re</w:t>
      </w:r>
      <w:r>
        <w:rPr>
          <w:rFonts w:ascii="Arial" w:hAnsi="Arial"/>
          <w:color w:val="010000"/>
          <w:sz w:val="20"/>
        </w:rPr>
        <w:t xml:space="preserve">port of the Supervisory Board of </w:t>
      </w:r>
      <w:proofErr w:type="spellStart"/>
      <w:r>
        <w:rPr>
          <w:rFonts w:ascii="Arial" w:hAnsi="Arial"/>
          <w:color w:val="010000"/>
          <w:sz w:val="20"/>
        </w:rPr>
        <w:t>Vinatrans</w:t>
      </w:r>
      <w:proofErr w:type="spellEnd"/>
      <w:r>
        <w:rPr>
          <w:rFonts w:ascii="Arial" w:hAnsi="Arial"/>
          <w:color w:val="010000"/>
          <w:sz w:val="20"/>
        </w:rPr>
        <w:t xml:space="preserve"> submitted to the Annual General Meeting of Shareholders 2024 </w:t>
      </w:r>
    </w:p>
    <w:p w14:paraId="15796458" w14:textId="3852DB9B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3. </w:t>
      </w:r>
      <w:r>
        <w:rPr>
          <w:rFonts w:ascii="Arial" w:hAnsi="Arial"/>
          <w:color w:val="010000"/>
          <w:sz w:val="20"/>
        </w:rPr>
        <w:t xml:space="preserve">Approve the audited financial statements 2023 of </w:t>
      </w:r>
      <w:proofErr w:type="spellStart"/>
      <w:r>
        <w:rPr>
          <w:rFonts w:ascii="Arial" w:hAnsi="Arial"/>
          <w:color w:val="010000"/>
          <w:sz w:val="20"/>
        </w:rPr>
        <w:t>Vinatrans</w:t>
      </w:r>
      <w:proofErr w:type="spellEnd"/>
    </w:p>
    <w:p w14:paraId="6D0B5051" w14:textId="5DBF9775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4. Approve the distribution of profits in 2023 </w:t>
      </w:r>
    </w:p>
    <w:p w14:paraId="66153726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Remaining undistributed profit: VND 403,858,946</w:t>
      </w:r>
    </w:p>
    <w:p w14:paraId="56F1933B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Profit after tax in 2023: VND 19,118,122,316</w:t>
      </w:r>
    </w:p>
    <w:p w14:paraId="0CAA23E4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Total undistributed profit: VND 19,521,981,262</w:t>
      </w:r>
    </w:p>
    <w:p w14:paraId="762F930E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Dividend payout (07%) VND 17,850,000,000</w:t>
      </w:r>
    </w:p>
    <w:p w14:paraId="1A2966E4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Fund appropriation VND 808,</w:t>
      </w:r>
      <w:r>
        <w:rPr>
          <w:rFonts w:ascii="Arial" w:hAnsi="Arial"/>
          <w:color w:val="010000"/>
          <w:sz w:val="20"/>
        </w:rPr>
        <w:t>046,652</w:t>
      </w:r>
    </w:p>
    <w:p w14:paraId="415CF465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Company Manager Bonus Fund VND 112,147,000</w:t>
      </w:r>
    </w:p>
    <w:p w14:paraId="2618B00B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Employee Bonus and welfare fund: VND 695,899,652</w:t>
      </w:r>
    </w:p>
    <w:p w14:paraId="1C26584F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Remaining undistributed profit: VND 863,934,610</w:t>
      </w:r>
    </w:p>
    <w:p w14:paraId="06169F07" w14:textId="1A224EA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5. Approve the business plan 2024</w:t>
      </w:r>
      <w:r>
        <w:rPr>
          <w:rFonts w:ascii="Arial" w:hAnsi="Arial"/>
          <w:color w:val="010000"/>
          <w:sz w:val="20"/>
        </w:rPr>
        <w:t>, specifically as follows:</w:t>
      </w:r>
    </w:p>
    <w:p w14:paraId="2CDF783B" w14:textId="77777777" w:rsidR="006406D9" w:rsidRDefault="00D02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88"/>
        </w:tabs>
        <w:spacing w:after="120" w:line="360" w:lineRule="auto"/>
        <w:rPr>
          <w:color w:val="010000"/>
        </w:rPr>
      </w:pPr>
      <w:r>
        <w:rPr>
          <w:rFonts w:ascii="Arial" w:hAnsi="Arial"/>
          <w:color w:val="010000"/>
          <w:sz w:val="20"/>
        </w:rPr>
        <w:t>Net revenue from service provision: VND 130.6 billion;</w:t>
      </w:r>
    </w:p>
    <w:p w14:paraId="14143B1D" w14:textId="77777777" w:rsidR="006406D9" w:rsidRDefault="00D02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88"/>
        </w:tabs>
        <w:spacing w:after="120" w:line="360" w:lineRule="auto"/>
        <w:rPr>
          <w:color w:val="010000"/>
        </w:rPr>
      </w:pPr>
      <w:r>
        <w:rPr>
          <w:rFonts w:ascii="Arial" w:hAnsi="Arial"/>
          <w:color w:val="010000"/>
          <w:sz w:val="20"/>
        </w:rPr>
        <w:t>Profit before tax: VND 16.5 billion</w:t>
      </w:r>
    </w:p>
    <w:p w14:paraId="672C8C8B" w14:textId="61AFE033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6. Approve </w:t>
      </w:r>
      <w:r w:rsidR="00D706AB">
        <w:rPr>
          <w:rFonts w:ascii="Arial" w:hAnsi="Arial"/>
          <w:color w:val="010000"/>
          <w:sz w:val="20"/>
        </w:rPr>
        <w:t xml:space="preserve">the </w:t>
      </w:r>
      <w:r>
        <w:rPr>
          <w:rFonts w:ascii="Arial" w:hAnsi="Arial"/>
          <w:color w:val="010000"/>
          <w:sz w:val="20"/>
        </w:rPr>
        <w:t>Proposal No. 161/</w:t>
      </w:r>
      <w:proofErr w:type="spellStart"/>
      <w:r>
        <w:rPr>
          <w:rFonts w:ascii="Arial" w:hAnsi="Arial"/>
          <w:color w:val="010000"/>
          <w:sz w:val="20"/>
        </w:rPr>
        <w:t>TTr</w:t>
      </w:r>
      <w:proofErr w:type="spellEnd"/>
      <w:r>
        <w:rPr>
          <w:rFonts w:ascii="Arial" w:hAnsi="Arial"/>
          <w:color w:val="010000"/>
          <w:sz w:val="20"/>
        </w:rPr>
        <w:t>-VIN dated April 11, 2024 of the Company's Board of Directors on sal</w:t>
      </w:r>
      <w:r>
        <w:rPr>
          <w:rFonts w:ascii="Arial" w:hAnsi="Arial"/>
          <w:color w:val="010000"/>
          <w:sz w:val="20"/>
        </w:rPr>
        <w:t xml:space="preserve">aries and remuneration implemented in 2023 and salary plan, remuneration for 2024 of the Board of </w:t>
      </w:r>
      <w:proofErr w:type="gramStart"/>
      <w:r>
        <w:rPr>
          <w:rFonts w:ascii="Arial" w:hAnsi="Arial"/>
          <w:color w:val="010000"/>
          <w:sz w:val="20"/>
        </w:rPr>
        <w:t>Directors ,</w:t>
      </w:r>
      <w:proofErr w:type="gramEnd"/>
      <w:r w:rsidR="00D706AB">
        <w:rPr>
          <w:rFonts w:ascii="Arial" w:hAnsi="Arial"/>
          <w:color w:val="010000"/>
          <w:sz w:val="20"/>
        </w:rPr>
        <w:t xml:space="preserve"> the </w:t>
      </w:r>
      <w:r>
        <w:rPr>
          <w:rFonts w:ascii="Arial" w:hAnsi="Arial"/>
          <w:color w:val="010000"/>
          <w:sz w:val="20"/>
        </w:rPr>
        <w:t>Supervisory Board</w:t>
      </w:r>
      <w:r w:rsidR="00D706AB">
        <w:rPr>
          <w:rFonts w:ascii="Arial" w:hAnsi="Arial"/>
          <w:color w:val="010000"/>
          <w:sz w:val="20"/>
        </w:rPr>
        <w:t xml:space="preserve"> of the Company</w:t>
      </w:r>
    </w:p>
    <w:p w14:paraId="33189580" w14:textId="0B69879E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0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7. </w:t>
      </w:r>
      <w:r>
        <w:rPr>
          <w:rFonts w:ascii="Arial" w:hAnsi="Arial"/>
          <w:color w:val="010000"/>
          <w:sz w:val="20"/>
        </w:rPr>
        <w:t>Approve the profit and dividend distribution plan 2024</w:t>
      </w:r>
      <w:r>
        <w:rPr>
          <w:rFonts w:ascii="Arial" w:hAnsi="Arial"/>
          <w:color w:val="010000"/>
          <w:sz w:val="20"/>
        </w:rPr>
        <w:t xml:space="preserve">. </w:t>
      </w:r>
    </w:p>
    <w:p w14:paraId="512C23A5" w14:textId="77777777" w:rsidR="006406D9" w:rsidRDefault="00D02776">
      <w:pPr>
        <w:numPr>
          <w:ilvl w:val="0"/>
          <w:numId w:val="1"/>
        </w:numPr>
        <w:tabs>
          <w:tab w:val="left" w:pos="432"/>
          <w:tab w:val="left" w:pos="9105"/>
        </w:tabs>
        <w:spacing w:after="120" w:line="360" w:lineRule="auto"/>
        <w:rPr>
          <w:color w:val="010000"/>
        </w:rPr>
      </w:pPr>
      <w:r>
        <w:rPr>
          <w:rFonts w:ascii="Arial" w:hAnsi="Arial"/>
          <w:color w:val="010000"/>
          <w:sz w:val="20"/>
        </w:rPr>
        <w:t>Remaining undistributed profit: VND 863,934,610</w:t>
      </w:r>
    </w:p>
    <w:p w14:paraId="25604A1C" w14:textId="77777777" w:rsidR="006406D9" w:rsidRDefault="00D02776">
      <w:pPr>
        <w:numPr>
          <w:ilvl w:val="0"/>
          <w:numId w:val="1"/>
        </w:numPr>
        <w:tabs>
          <w:tab w:val="left" w:pos="432"/>
          <w:tab w:val="left" w:pos="9105"/>
        </w:tabs>
        <w:spacing w:after="120" w:line="360" w:lineRule="auto"/>
        <w:rPr>
          <w:color w:val="010000"/>
        </w:rPr>
      </w:pPr>
      <w:r>
        <w:rPr>
          <w:rFonts w:ascii="Arial" w:hAnsi="Arial"/>
          <w:color w:val="010000"/>
          <w:sz w:val="20"/>
        </w:rPr>
        <w:t>Expected profit after tax in 2024: VND 14,531,000,000</w:t>
      </w:r>
    </w:p>
    <w:p w14:paraId="7A07CD7D" w14:textId="77777777" w:rsidR="006406D9" w:rsidRDefault="00D02776">
      <w:pPr>
        <w:numPr>
          <w:ilvl w:val="0"/>
          <w:numId w:val="1"/>
        </w:numPr>
        <w:tabs>
          <w:tab w:val="left" w:pos="432"/>
          <w:tab w:val="left" w:pos="9105"/>
        </w:tabs>
        <w:spacing w:after="120" w:line="360" w:lineRule="auto"/>
        <w:rPr>
          <w:color w:val="010000"/>
        </w:rPr>
      </w:pPr>
      <w:r>
        <w:rPr>
          <w:rFonts w:ascii="Arial" w:hAnsi="Arial"/>
          <w:color w:val="010000"/>
          <w:sz w:val="20"/>
        </w:rPr>
        <w:t>Tot</w:t>
      </w:r>
      <w:r>
        <w:rPr>
          <w:rFonts w:ascii="Arial" w:hAnsi="Arial"/>
          <w:color w:val="010000"/>
          <w:sz w:val="20"/>
        </w:rPr>
        <w:t>al profit after tax in 2024: VND 15,394,934,610</w:t>
      </w:r>
    </w:p>
    <w:p w14:paraId="186332E4" w14:textId="77777777" w:rsidR="006406D9" w:rsidRDefault="00D02776">
      <w:pPr>
        <w:numPr>
          <w:ilvl w:val="0"/>
          <w:numId w:val="3"/>
        </w:numPr>
        <w:tabs>
          <w:tab w:val="left" w:pos="432"/>
          <w:tab w:val="left" w:pos="9105"/>
        </w:tabs>
        <w:spacing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lastRenderedPageBreak/>
        <w:t>Dividend payout (04%) VND 10,200,000,000</w:t>
      </w:r>
    </w:p>
    <w:p w14:paraId="30A41FAF" w14:textId="779D6EB9" w:rsidR="006406D9" w:rsidRDefault="00D02776">
      <w:pPr>
        <w:numPr>
          <w:ilvl w:val="0"/>
          <w:numId w:val="3"/>
        </w:numPr>
        <w:tabs>
          <w:tab w:val="left" w:pos="432"/>
          <w:tab w:val="left" w:pos="9105"/>
        </w:tabs>
        <w:spacing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Appropriation for</w:t>
      </w:r>
      <w:r>
        <w:rPr>
          <w:rFonts w:ascii="Arial" w:hAnsi="Arial"/>
          <w:color w:val="010000"/>
          <w:sz w:val="20"/>
        </w:rPr>
        <w:t xml:space="preserve"> bonus</w:t>
      </w:r>
      <w:r>
        <w:rPr>
          <w:rFonts w:ascii="Arial" w:hAnsi="Arial"/>
          <w:color w:val="010000"/>
          <w:sz w:val="20"/>
        </w:rPr>
        <w:t xml:space="preserve"> and welfare funds</w:t>
      </w:r>
      <w:r>
        <w:rPr>
          <w:rFonts w:ascii="Arial" w:hAnsi="Arial"/>
          <w:color w:val="010000"/>
          <w:sz w:val="20"/>
        </w:rPr>
        <w:t>: VND 2,784,000,000</w:t>
      </w:r>
    </w:p>
    <w:p w14:paraId="236041A9" w14:textId="77777777" w:rsidR="006406D9" w:rsidRDefault="00D02776">
      <w:pPr>
        <w:numPr>
          <w:ilvl w:val="0"/>
          <w:numId w:val="3"/>
        </w:numPr>
        <w:tabs>
          <w:tab w:val="left" w:pos="432"/>
          <w:tab w:val="left" w:pos="9105"/>
        </w:tabs>
        <w:spacing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Bonus fund for managers VND 265,500,000</w:t>
      </w:r>
    </w:p>
    <w:p w14:paraId="3EC3B601" w14:textId="77777777" w:rsidR="006406D9" w:rsidRDefault="00D02776">
      <w:pPr>
        <w:numPr>
          <w:ilvl w:val="0"/>
          <w:numId w:val="4"/>
        </w:numPr>
        <w:tabs>
          <w:tab w:val="left" w:pos="432"/>
          <w:tab w:val="left" w:pos="9105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30j0zll"/>
      <w:bookmarkEnd w:id="1"/>
      <w:r>
        <w:rPr>
          <w:rFonts w:ascii="Arial" w:hAnsi="Arial"/>
          <w:color w:val="010000"/>
          <w:sz w:val="20"/>
        </w:rPr>
        <w:t>Remaining undistributed profit: VND 2,145,434,610</w:t>
      </w:r>
    </w:p>
    <w:p w14:paraId="752A1462" w14:textId="38498242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</w:t>
      </w:r>
      <w:r>
        <w:rPr>
          <w:rFonts w:ascii="Arial" w:hAnsi="Arial"/>
          <w:color w:val="010000"/>
          <w:sz w:val="20"/>
        </w:rPr>
        <w:t xml:space="preserve">Article 8. Approve the financial plan 2024 </w:t>
      </w:r>
    </w:p>
    <w:p w14:paraId="6A5CF380" w14:textId="7716F3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9. </w:t>
      </w:r>
      <w:r>
        <w:rPr>
          <w:rFonts w:ascii="Arial" w:hAnsi="Arial"/>
          <w:color w:val="010000"/>
          <w:sz w:val="20"/>
        </w:rPr>
        <w:t xml:space="preserve">Approve the investment plan </w:t>
      </w:r>
    </w:p>
    <w:p w14:paraId="0AF6781B" w14:textId="6DAD9C13" w:rsidR="006406D9" w:rsidRDefault="00D02776">
      <w:pP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1         Temporarily suspended Investment categories</w:t>
      </w:r>
      <w:r>
        <w:rPr>
          <w:rFonts w:ascii="Arial" w:hAnsi="Arial"/>
          <w:color w:val="010000"/>
          <w:sz w:val="20"/>
        </w:rPr>
        <w:t>: Repair and renovate interior categories at A8 Truong Son office building</w:t>
      </w:r>
      <w:r>
        <w:rPr>
          <w:rFonts w:ascii="Arial" w:hAnsi="Arial"/>
          <w:color w:val="010000"/>
          <w:sz w:val="20"/>
        </w:rPr>
        <w:t xml:space="preserve"> as </w:t>
      </w:r>
      <w:proofErr w:type="spellStart"/>
      <w:r>
        <w:rPr>
          <w:rFonts w:ascii="Arial" w:hAnsi="Arial"/>
          <w:color w:val="010000"/>
          <w:sz w:val="20"/>
        </w:rPr>
        <w:t>Vinatrans's</w:t>
      </w:r>
      <w:proofErr w:type="spellEnd"/>
      <w:r>
        <w:rPr>
          <w:rFonts w:ascii="Arial" w:hAnsi="Arial"/>
          <w:color w:val="010000"/>
          <w:sz w:val="20"/>
        </w:rPr>
        <w:t xml:space="preserve"> headquarters.</w:t>
      </w:r>
    </w:p>
    <w:p w14:paraId="2C6A47ED" w14:textId="77777777" w:rsidR="006406D9" w:rsidRDefault="00D02776">
      <w:pP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Reason: Wait for legal documents to be completed to proceed.</w:t>
      </w:r>
    </w:p>
    <w:p w14:paraId="045617B5" w14:textId="77777777" w:rsidR="006406D9" w:rsidRDefault="00D02776">
      <w:pP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2         Investment categories in 2024:</w:t>
      </w:r>
    </w:p>
    <w:tbl>
      <w:tblPr>
        <w:tblStyle w:val="a2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040"/>
        <w:gridCol w:w="1470"/>
        <w:gridCol w:w="915"/>
        <w:gridCol w:w="1245"/>
        <w:gridCol w:w="1230"/>
        <w:gridCol w:w="1485"/>
      </w:tblGrid>
      <w:tr w:rsidR="006406D9" w14:paraId="604D9392" w14:textId="77777777">
        <w:trPr>
          <w:trHeight w:val="103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5D82E9A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0180BE77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Items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31779BA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Unit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6A5ABA3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Total investment value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CB67411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Disbursed 2023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0E8F80BA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Disbursement plan 2024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24A1D2A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Note</w:t>
            </w:r>
          </w:p>
        </w:tc>
      </w:tr>
      <w:tr w:rsidR="006406D9" w14:paraId="13BCFC0B" w14:textId="77777777">
        <w:trPr>
          <w:trHeight w:val="10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B23348A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0A34636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Invest in purchasing business management software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02C94250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E01AF7B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1,750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1B5F946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860.850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5D28B916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889.150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E5165D8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Transition category</w:t>
            </w:r>
          </w:p>
        </w:tc>
      </w:tr>
      <w:tr w:rsidR="006406D9" w14:paraId="74D247C8" w14:textId="77777777">
        <w:trPr>
          <w:trHeight w:val="133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541DED1D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B1E5771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Fire protection system for warehouse area 161 Nguyen Van </w:t>
            </w:r>
            <w:proofErr w:type="spellStart"/>
            <w:r>
              <w:rPr>
                <w:rFonts w:ascii="Arial" w:hAnsi="Arial"/>
                <w:color w:val="010000"/>
                <w:sz w:val="20"/>
              </w:rPr>
              <w:t>Quy</w:t>
            </w:r>
            <w:proofErr w:type="spellEnd"/>
            <w:r>
              <w:rPr>
                <w:rFonts w:ascii="Arial" w:hAnsi="Arial"/>
                <w:color w:val="010000"/>
                <w:sz w:val="20"/>
              </w:rPr>
              <w:t xml:space="preserve"> District 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60D3EB9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52C33A5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4,000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BC62545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B90AA4C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4,000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7E20478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Transition category</w:t>
            </w:r>
          </w:p>
        </w:tc>
      </w:tr>
      <w:tr w:rsidR="006406D9" w14:paraId="5F009834" w14:textId="77777777">
        <w:trPr>
          <w:trHeight w:val="435"/>
        </w:trPr>
        <w:tc>
          <w:tcPr>
            <w:tcW w:w="2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218BBD7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Total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9EB0E6E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Million VND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9957E4E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5,750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71B6933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860.850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19FB4D3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4,889.150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76E8E0AF" w14:textId="77777777" w:rsidR="006406D9" w:rsidRDefault="00D02776">
            <w:pPr>
              <w:tabs>
                <w:tab w:val="left" w:pos="432"/>
              </w:tabs>
              <w:spacing w:before="240"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 </w:t>
            </w:r>
          </w:p>
        </w:tc>
      </w:tr>
    </w:tbl>
    <w:p w14:paraId="34DBDBD5" w14:textId="77777777" w:rsidR="006406D9" w:rsidRDefault="00D02776">
      <w:pPr>
        <w:numPr>
          <w:ilvl w:val="0"/>
          <w:numId w:val="5"/>
        </w:numPr>
        <w:tabs>
          <w:tab w:val="left" w:pos="432"/>
        </w:tabs>
        <w:spacing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Total planned investment in 2024 is: VND 4,889.150 million;</w:t>
      </w:r>
    </w:p>
    <w:p w14:paraId="718D4528" w14:textId="77777777" w:rsidR="006406D9" w:rsidRDefault="00D02776">
      <w:pPr>
        <w:numPr>
          <w:ilvl w:val="0"/>
          <w:numId w:val="5"/>
        </w:numP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Capital source: Company’s Capital</w:t>
      </w:r>
    </w:p>
    <w:p w14:paraId="53A2F402" w14:textId="49CD6F50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10. </w:t>
      </w:r>
      <w:r>
        <w:rPr>
          <w:rFonts w:ascii="Arial" w:hAnsi="Arial"/>
          <w:color w:val="010000"/>
          <w:sz w:val="20"/>
        </w:rPr>
        <w:t xml:space="preserve">Approve the amendment of the implementation plan of </w:t>
      </w:r>
      <w:proofErr w:type="spellStart"/>
      <w:r>
        <w:rPr>
          <w:rFonts w:ascii="Arial" w:hAnsi="Arial"/>
          <w:color w:val="010000"/>
          <w:sz w:val="20"/>
        </w:rPr>
        <w:t>Vinatrans</w:t>
      </w:r>
      <w:proofErr w:type="spellEnd"/>
      <w:r>
        <w:rPr>
          <w:rFonts w:ascii="Arial" w:hAnsi="Arial"/>
          <w:color w:val="010000"/>
          <w:sz w:val="20"/>
        </w:rPr>
        <w:t>' investment capital restructuring project at enterprises</w:t>
      </w:r>
    </w:p>
    <w:p w14:paraId="2D77E0E5" w14:textId="56E5F9ED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11. Approve on selecting an audit company for </w:t>
      </w:r>
      <w:r>
        <w:rPr>
          <w:rFonts w:ascii="Arial" w:hAnsi="Arial"/>
          <w:color w:val="010000"/>
          <w:sz w:val="20"/>
        </w:rPr>
        <w:t xml:space="preserve">the Financial Statements </w:t>
      </w:r>
      <w:r>
        <w:rPr>
          <w:rFonts w:ascii="Arial" w:hAnsi="Arial"/>
          <w:color w:val="010000"/>
          <w:sz w:val="20"/>
        </w:rPr>
        <w:t xml:space="preserve">2024 </w:t>
      </w:r>
    </w:p>
    <w:p w14:paraId="6AFB87CE" w14:textId="4FB1D5B5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12. Approve the signing of service contracts by Vietnam Foreign Trade Logistics Joint Stock Company with related co</w:t>
      </w:r>
      <w:r>
        <w:rPr>
          <w:rFonts w:ascii="Arial" w:hAnsi="Arial"/>
          <w:color w:val="010000"/>
          <w:sz w:val="20"/>
        </w:rPr>
        <w:t>mpanies of PDMR</w:t>
      </w:r>
    </w:p>
    <w:p w14:paraId="4E95E923" w14:textId="74606E12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13. Approve the dismissal and election of additional members of the Board of Directors for the 2020-2025 term </w:t>
      </w:r>
    </w:p>
    <w:p w14:paraId="681DD4EE" w14:textId="326BA944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14. Approve the dismissal and election of additional members of the Supervisory Board for the 2020-2025 term </w:t>
      </w:r>
    </w:p>
    <w:p w14:paraId="5B7E99E8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lastRenderedPageBreak/>
        <w:t xml:space="preserve">‎‎Article 15. Approve the results of additional election of members of the Board of Directors of </w:t>
      </w:r>
      <w:proofErr w:type="spellStart"/>
      <w:r>
        <w:rPr>
          <w:rFonts w:ascii="Arial" w:hAnsi="Arial"/>
          <w:color w:val="010000"/>
          <w:sz w:val="20"/>
        </w:rPr>
        <w:t>Vinatrans</w:t>
      </w:r>
      <w:proofErr w:type="spellEnd"/>
      <w:r>
        <w:rPr>
          <w:rFonts w:ascii="Arial" w:hAnsi="Arial"/>
          <w:color w:val="010000"/>
          <w:sz w:val="20"/>
        </w:rPr>
        <w:t xml:space="preserve"> for the 2020-2025 term as follows:</w:t>
      </w:r>
    </w:p>
    <w:tbl>
      <w:tblPr>
        <w:tblStyle w:val="a3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7448"/>
      </w:tblGrid>
      <w:tr w:rsidR="006406D9" w14:paraId="74A6ACC0" w14:textId="77777777">
        <w:tc>
          <w:tcPr>
            <w:tcW w:w="156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E34541" w14:textId="77777777" w:rsidR="006406D9" w:rsidRDefault="00D0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744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E49EA4" w14:textId="77777777" w:rsidR="006406D9" w:rsidRDefault="00D0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Full name</w:t>
            </w:r>
          </w:p>
        </w:tc>
      </w:tr>
      <w:tr w:rsidR="006406D9" w14:paraId="12000BCF" w14:textId="77777777">
        <w:tc>
          <w:tcPr>
            <w:tcW w:w="156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3E4447" w14:textId="77777777" w:rsidR="006406D9" w:rsidRDefault="00D0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744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CE1B75" w14:textId="77777777" w:rsidR="006406D9" w:rsidRDefault="00D0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Mr. Ha Minh Huan</w:t>
            </w:r>
          </w:p>
        </w:tc>
      </w:tr>
    </w:tbl>
    <w:p w14:paraId="26D1AF6F" w14:textId="77777777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16. </w:t>
      </w:r>
      <w:r>
        <w:rPr>
          <w:rFonts w:ascii="Arial" w:hAnsi="Arial"/>
          <w:color w:val="010000"/>
          <w:sz w:val="20"/>
        </w:rPr>
        <w:t xml:space="preserve">Approve the results of additional election of members of the Supervisory Board of </w:t>
      </w:r>
      <w:proofErr w:type="spellStart"/>
      <w:r>
        <w:rPr>
          <w:rFonts w:ascii="Arial" w:hAnsi="Arial"/>
          <w:color w:val="010000"/>
          <w:sz w:val="20"/>
        </w:rPr>
        <w:t>Vinatrans</w:t>
      </w:r>
      <w:proofErr w:type="spellEnd"/>
      <w:r>
        <w:rPr>
          <w:rFonts w:ascii="Arial" w:hAnsi="Arial"/>
          <w:color w:val="010000"/>
          <w:sz w:val="20"/>
        </w:rPr>
        <w:t xml:space="preserve"> for the term 2020-2025 as follows:</w:t>
      </w:r>
    </w:p>
    <w:tbl>
      <w:tblPr>
        <w:tblStyle w:val="a4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7450"/>
      </w:tblGrid>
      <w:tr w:rsidR="006406D9" w14:paraId="049183AE" w14:textId="77777777">
        <w:tc>
          <w:tcPr>
            <w:tcW w:w="156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4407BF" w14:textId="77777777" w:rsidR="006406D9" w:rsidRDefault="00D0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E9FCBC" w14:textId="77777777" w:rsidR="006406D9" w:rsidRDefault="00D0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Full name</w:t>
            </w:r>
          </w:p>
        </w:tc>
      </w:tr>
      <w:tr w:rsidR="006406D9" w14:paraId="4180F726" w14:textId="77777777">
        <w:tc>
          <w:tcPr>
            <w:tcW w:w="156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755358" w14:textId="77777777" w:rsidR="006406D9" w:rsidRDefault="00D0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0B4C74" w14:textId="674971F0" w:rsidR="006406D9" w:rsidRDefault="00D0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Mr.</w:t>
            </w:r>
            <w:r>
              <w:rPr>
                <w:rFonts w:ascii="Arial" w:hAnsi="Arial"/>
                <w:color w:val="010000"/>
                <w:sz w:val="20"/>
              </w:rPr>
              <w:t xml:space="preserve"> Trieu Anh Vu</w:t>
            </w:r>
          </w:p>
        </w:tc>
      </w:tr>
      <w:tr w:rsidR="006406D9" w14:paraId="589749BE" w14:textId="77777777">
        <w:tc>
          <w:tcPr>
            <w:tcW w:w="156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965422" w14:textId="77777777" w:rsidR="006406D9" w:rsidRDefault="00D0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74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266256" w14:textId="77777777" w:rsidR="006406D9" w:rsidRDefault="00D0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 xml:space="preserve">Ms. Vu Van </w:t>
            </w:r>
            <w:proofErr w:type="spellStart"/>
            <w:r>
              <w:rPr>
                <w:rFonts w:ascii="Arial" w:hAnsi="Arial"/>
                <w:color w:val="010000"/>
                <w:sz w:val="20"/>
              </w:rPr>
              <w:t>Huyen</w:t>
            </w:r>
            <w:proofErr w:type="spellEnd"/>
          </w:p>
        </w:tc>
      </w:tr>
    </w:tbl>
    <w:p w14:paraId="3EF4E952" w14:textId="1284A9B3" w:rsidR="006406D9" w:rsidRDefault="00D0277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17. </w:t>
      </w:r>
      <w:r>
        <w:rPr>
          <w:rFonts w:ascii="Arial" w:hAnsi="Arial"/>
          <w:color w:val="010000"/>
          <w:sz w:val="20"/>
        </w:rPr>
        <w:t>The Annual General</w:t>
      </w:r>
      <w:r>
        <w:rPr>
          <w:rFonts w:ascii="Arial" w:hAnsi="Arial"/>
          <w:color w:val="010000"/>
          <w:sz w:val="20"/>
        </w:rPr>
        <w:t xml:space="preserve"> Mandate 2024 of </w:t>
      </w:r>
      <w:proofErr w:type="spellStart"/>
      <w:r>
        <w:rPr>
          <w:rFonts w:ascii="Arial" w:hAnsi="Arial"/>
          <w:color w:val="010000"/>
          <w:sz w:val="20"/>
        </w:rPr>
        <w:t>Vinatrans</w:t>
      </w:r>
      <w:proofErr w:type="spellEnd"/>
      <w:r>
        <w:rPr>
          <w:rFonts w:ascii="Arial" w:hAnsi="Arial"/>
          <w:color w:val="010000"/>
          <w:sz w:val="20"/>
        </w:rPr>
        <w:t xml:space="preserve"> was unanimously approved </w:t>
      </w:r>
      <w:r>
        <w:rPr>
          <w:rFonts w:ascii="Arial" w:hAnsi="Arial"/>
          <w:color w:val="010000"/>
          <w:sz w:val="20"/>
        </w:rPr>
        <w:t>and takes effect from April 15, 2024. The Board of Directors is responsible for implementing contents of this Mandate.</w:t>
      </w:r>
    </w:p>
    <w:sectPr w:rsidR="006406D9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6EC4"/>
    <w:multiLevelType w:val="multilevel"/>
    <w:tmpl w:val="2B5E3BD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4747F1"/>
    <w:multiLevelType w:val="multilevel"/>
    <w:tmpl w:val="5C6E7E2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E10B05"/>
    <w:multiLevelType w:val="multilevel"/>
    <w:tmpl w:val="BF94145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7D7198"/>
    <w:multiLevelType w:val="multilevel"/>
    <w:tmpl w:val="4F8AE6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EF75CB"/>
    <w:multiLevelType w:val="multilevel"/>
    <w:tmpl w:val="5E848B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D9"/>
    <w:rsid w:val="006406D9"/>
    <w:rsid w:val="00D02776"/>
    <w:rsid w:val="00D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92EB"/>
  <w15:docId w15:val="{133F8782-BCC7-4197-A775-E5BACCD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190" w:lineRule="auto"/>
      <w:jc w:val="right"/>
    </w:pPr>
    <w:rPr>
      <w:rFonts w:ascii="Arial" w:eastAsia="Arial" w:hAnsi="Arial" w:cs="Arial"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283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YjMhFxVf0xXkZCUuYEhaGiFJdA==">CgMxLjAyCGguZ2pkZ3hzMgloLjMwajB6bGw4AHIhMUFKYkJnTVQ3Q3ZMODU4ZkhCQXlqOHR4cVVmb2N6eUlw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Đinh Thị Chung TA45A</cp:lastModifiedBy>
  <cp:revision>3</cp:revision>
  <dcterms:created xsi:type="dcterms:W3CDTF">2024-04-17T09:57:00Z</dcterms:created>
  <dcterms:modified xsi:type="dcterms:W3CDTF">2024-04-22T02:47:00Z</dcterms:modified>
</cp:coreProperties>
</file>