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1820E" w14:textId="4A94EF8B"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6E7068">
        <w:rPr>
          <w:rFonts w:ascii="Arial" w:hAnsi="Arial" w:cs="Arial"/>
          <w:b/>
          <w:color w:val="010000"/>
          <w:sz w:val="20"/>
        </w:rPr>
        <w:t xml:space="preserve">CSI: Explanation </w:t>
      </w:r>
      <w:r w:rsidR="008E5656">
        <w:rPr>
          <w:rFonts w:ascii="Arial" w:hAnsi="Arial" w:cs="Arial"/>
          <w:b/>
          <w:color w:val="010000"/>
          <w:sz w:val="20"/>
        </w:rPr>
        <w:t>of</w:t>
      </w:r>
      <w:r w:rsidRPr="006E7068">
        <w:rPr>
          <w:rFonts w:ascii="Arial" w:hAnsi="Arial" w:cs="Arial"/>
          <w:b/>
          <w:color w:val="010000"/>
          <w:sz w:val="20"/>
        </w:rPr>
        <w:t xml:space="preserve"> the Financial Statements </w:t>
      </w:r>
    </w:p>
    <w:p w14:paraId="332742A8" w14:textId="4AF40D42"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bookmarkStart w:id="0" w:name="_heading=h.gjdgxs"/>
      <w:bookmarkEnd w:id="0"/>
      <w:r w:rsidRPr="006E7068">
        <w:rPr>
          <w:rFonts w:ascii="Arial" w:hAnsi="Arial" w:cs="Arial"/>
          <w:color w:val="010000"/>
          <w:sz w:val="20"/>
        </w:rPr>
        <w:t>On March 28, 2024,</w:t>
      </w:r>
      <w:r w:rsidR="007A1E8F" w:rsidRPr="006E7068">
        <w:rPr>
          <w:rFonts w:ascii="Arial" w:hAnsi="Arial" w:cs="Arial"/>
          <w:color w:val="010000"/>
          <w:sz w:val="20"/>
        </w:rPr>
        <w:t xml:space="preserve"> </w:t>
      </w:r>
      <w:r w:rsidRPr="006E7068">
        <w:rPr>
          <w:rFonts w:ascii="Arial" w:hAnsi="Arial" w:cs="Arial"/>
          <w:color w:val="010000"/>
          <w:sz w:val="20"/>
        </w:rPr>
        <w:t xml:space="preserve">Viet Nam Construction Securities Joint Stock Company announced Official Dispatch No. 19/2024/CSI/CV-TGD </w:t>
      </w:r>
      <w:r w:rsidR="008E5656">
        <w:rPr>
          <w:rFonts w:ascii="Arial" w:hAnsi="Arial" w:cs="Arial"/>
          <w:color w:val="010000"/>
          <w:sz w:val="20"/>
        </w:rPr>
        <w:t>an</w:t>
      </w:r>
      <w:r w:rsidRPr="006E7068">
        <w:rPr>
          <w:rFonts w:ascii="Arial" w:hAnsi="Arial" w:cs="Arial"/>
          <w:color w:val="010000"/>
          <w:sz w:val="20"/>
        </w:rPr>
        <w:t xml:space="preserve"> Explanation of changes in profit after tax 2023 compared to 2022 as follows</w:t>
      </w:r>
      <w:r w:rsidR="007A1E8F" w:rsidRPr="006E7068">
        <w:rPr>
          <w:rFonts w:ascii="Arial" w:hAnsi="Arial" w:cs="Arial"/>
          <w:color w:val="010000"/>
          <w:sz w:val="20"/>
        </w:rPr>
        <w: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4"/>
        <w:gridCol w:w="3393"/>
        <w:gridCol w:w="1886"/>
        <w:gridCol w:w="1720"/>
        <w:gridCol w:w="1294"/>
      </w:tblGrid>
      <w:tr w:rsidR="00C54186" w:rsidRPr="006E7068" w14:paraId="14ACB3A6" w14:textId="77777777" w:rsidTr="007A1E8F">
        <w:tc>
          <w:tcPr>
            <w:tcW w:w="403" w:type="pct"/>
            <w:shd w:val="clear" w:color="auto" w:fill="auto"/>
            <w:tcMar>
              <w:top w:w="0" w:type="dxa"/>
              <w:bottom w:w="0" w:type="dxa"/>
            </w:tcMar>
            <w:vAlign w:val="center"/>
          </w:tcPr>
          <w:p w14:paraId="7D5BA01E" w14:textId="77777777" w:rsidR="00C54186" w:rsidRPr="001C5FAE" w:rsidRDefault="006E7068" w:rsidP="001C5FAE">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No.</w:t>
            </w:r>
          </w:p>
        </w:tc>
        <w:tc>
          <w:tcPr>
            <w:tcW w:w="1883" w:type="pct"/>
            <w:shd w:val="clear" w:color="auto" w:fill="auto"/>
            <w:tcMar>
              <w:top w:w="0" w:type="dxa"/>
              <w:bottom w:w="0" w:type="dxa"/>
            </w:tcMar>
            <w:vAlign w:val="center"/>
          </w:tcPr>
          <w:p w14:paraId="3F1A88EC" w14:textId="77777777" w:rsidR="00C54186" w:rsidRPr="001C5FAE" w:rsidRDefault="006E7068" w:rsidP="001C5FAE">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Target</w:t>
            </w:r>
          </w:p>
        </w:tc>
        <w:tc>
          <w:tcPr>
            <w:tcW w:w="1047" w:type="pct"/>
            <w:shd w:val="clear" w:color="auto" w:fill="auto"/>
            <w:tcMar>
              <w:top w:w="0" w:type="dxa"/>
              <w:bottom w:w="0" w:type="dxa"/>
            </w:tcMar>
            <w:vAlign w:val="center"/>
          </w:tcPr>
          <w:p w14:paraId="7803A078" w14:textId="77777777" w:rsidR="00C54186" w:rsidRPr="001C5FAE" w:rsidRDefault="006E7068" w:rsidP="001C5FAE">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2023 (VND)</w:t>
            </w:r>
          </w:p>
        </w:tc>
        <w:tc>
          <w:tcPr>
            <w:tcW w:w="955" w:type="pct"/>
            <w:shd w:val="clear" w:color="auto" w:fill="auto"/>
            <w:tcMar>
              <w:top w:w="0" w:type="dxa"/>
              <w:bottom w:w="0" w:type="dxa"/>
            </w:tcMar>
            <w:vAlign w:val="center"/>
          </w:tcPr>
          <w:p w14:paraId="3E301A86" w14:textId="77777777" w:rsidR="00C54186" w:rsidRPr="001C5FAE" w:rsidRDefault="006E7068" w:rsidP="001C5FAE">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2022 (VND)</w:t>
            </w:r>
          </w:p>
        </w:tc>
        <w:tc>
          <w:tcPr>
            <w:tcW w:w="712" w:type="pct"/>
            <w:shd w:val="clear" w:color="auto" w:fill="auto"/>
            <w:tcMar>
              <w:top w:w="0" w:type="dxa"/>
              <w:bottom w:w="0" w:type="dxa"/>
            </w:tcMar>
            <w:vAlign w:val="center"/>
          </w:tcPr>
          <w:p w14:paraId="56765521" w14:textId="77777777" w:rsidR="00C54186" w:rsidRPr="001C5FAE" w:rsidRDefault="006E7068" w:rsidP="001C5FAE">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Fluctuation (%)</w:t>
            </w:r>
          </w:p>
        </w:tc>
      </w:tr>
      <w:tr w:rsidR="00C54186" w:rsidRPr="006E7068" w14:paraId="77A07700" w14:textId="77777777" w:rsidTr="007A1E8F">
        <w:tc>
          <w:tcPr>
            <w:tcW w:w="403" w:type="pct"/>
            <w:shd w:val="clear" w:color="auto" w:fill="auto"/>
            <w:tcMar>
              <w:top w:w="0" w:type="dxa"/>
              <w:bottom w:w="0" w:type="dxa"/>
            </w:tcMar>
            <w:vAlign w:val="center"/>
          </w:tcPr>
          <w:p w14:paraId="4074A6EB"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w:t>
            </w:r>
          </w:p>
        </w:tc>
        <w:tc>
          <w:tcPr>
            <w:tcW w:w="1883" w:type="pct"/>
            <w:shd w:val="clear" w:color="auto" w:fill="auto"/>
            <w:tcMar>
              <w:top w:w="0" w:type="dxa"/>
              <w:bottom w:w="0" w:type="dxa"/>
            </w:tcMar>
            <w:vAlign w:val="center"/>
          </w:tcPr>
          <w:p w14:paraId="56346760"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 xml:space="preserve">Operating revenue </w:t>
            </w:r>
          </w:p>
        </w:tc>
        <w:tc>
          <w:tcPr>
            <w:tcW w:w="1047" w:type="pct"/>
            <w:shd w:val="clear" w:color="auto" w:fill="auto"/>
            <w:tcMar>
              <w:top w:w="0" w:type="dxa"/>
              <w:bottom w:w="0" w:type="dxa"/>
            </w:tcMar>
            <w:vAlign w:val="center"/>
          </w:tcPr>
          <w:p w14:paraId="336EBE32"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12,596,729,913</w:t>
            </w:r>
          </w:p>
        </w:tc>
        <w:tc>
          <w:tcPr>
            <w:tcW w:w="955" w:type="pct"/>
            <w:shd w:val="clear" w:color="auto" w:fill="auto"/>
            <w:tcMar>
              <w:top w:w="0" w:type="dxa"/>
              <w:bottom w:w="0" w:type="dxa"/>
            </w:tcMar>
            <w:vAlign w:val="center"/>
          </w:tcPr>
          <w:p w14:paraId="3A83425B"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38,337,863,375</w:t>
            </w:r>
          </w:p>
        </w:tc>
        <w:tc>
          <w:tcPr>
            <w:tcW w:w="712" w:type="pct"/>
            <w:shd w:val="clear" w:color="auto" w:fill="auto"/>
            <w:tcMar>
              <w:top w:w="0" w:type="dxa"/>
              <w:bottom w:w="0" w:type="dxa"/>
            </w:tcMar>
            <w:vAlign w:val="center"/>
          </w:tcPr>
          <w:p w14:paraId="58956DC1"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(67.14)</w:t>
            </w:r>
          </w:p>
        </w:tc>
      </w:tr>
      <w:tr w:rsidR="00C54186" w:rsidRPr="006E7068" w14:paraId="480C5706" w14:textId="77777777" w:rsidTr="007A1E8F">
        <w:tc>
          <w:tcPr>
            <w:tcW w:w="403" w:type="pct"/>
            <w:shd w:val="clear" w:color="auto" w:fill="auto"/>
            <w:tcMar>
              <w:top w:w="0" w:type="dxa"/>
              <w:bottom w:w="0" w:type="dxa"/>
            </w:tcMar>
            <w:vAlign w:val="center"/>
          </w:tcPr>
          <w:p w14:paraId="62023ECC"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2</w:t>
            </w:r>
          </w:p>
        </w:tc>
        <w:tc>
          <w:tcPr>
            <w:tcW w:w="1883" w:type="pct"/>
            <w:shd w:val="clear" w:color="auto" w:fill="auto"/>
            <w:tcMar>
              <w:top w:w="0" w:type="dxa"/>
              <w:bottom w:w="0" w:type="dxa"/>
            </w:tcMar>
            <w:vAlign w:val="center"/>
          </w:tcPr>
          <w:p w14:paraId="0B30056F"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Operating expense</w:t>
            </w:r>
          </w:p>
        </w:tc>
        <w:tc>
          <w:tcPr>
            <w:tcW w:w="1047" w:type="pct"/>
            <w:shd w:val="clear" w:color="auto" w:fill="auto"/>
            <w:tcMar>
              <w:top w:w="0" w:type="dxa"/>
              <w:bottom w:w="0" w:type="dxa"/>
            </w:tcMar>
            <w:vAlign w:val="center"/>
          </w:tcPr>
          <w:p w14:paraId="4C4D2753"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9,810,406,041</w:t>
            </w:r>
          </w:p>
        </w:tc>
        <w:tc>
          <w:tcPr>
            <w:tcW w:w="955" w:type="pct"/>
            <w:shd w:val="clear" w:color="auto" w:fill="auto"/>
            <w:tcMar>
              <w:top w:w="0" w:type="dxa"/>
              <w:bottom w:w="0" w:type="dxa"/>
            </w:tcMar>
            <w:vAlign w:val="center"/>
          </w:tcPr>
          <w:p w14:paraId="46EA773D"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12,301,087,671</w:t>
            </w:r>
          </w:p>
        </w:tc>
        <w:tc>
          <w:tcPr>
            <w:tcW w:w="712" w:type="pct"/>
            <w:shd w:val="clear" w:color="auto" w:fill="auto"/>
            <w:tcMar>
              <w:top w:w="0" w:type="dxa"/>
              <w:bottom w:w="0" w:type="dxa"/>
            </w:tcMar>
            <w:vAlign w:val="center"/>
          </w:tcPr>
          <w:p w14:paraId="2BED4211"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(20.25)</w:t>
            </w:r>
          </w:p>
        </w:tc>
      </w:tr>
      <w:tr w:rsidR="00C54186" w:rsidRPr="006E7068" w14:paraId="2365961A" w14:textId="77777777" w:rsidTr="007A1E8F">
        <w:tc>
          <w:tcPr>
            <w:tcW w:w="403" w:type="pct"/>
            <w:shd w:val="clear" w:color="auto" w:fill="auto"/>
            <w:tcMar>
              <w:top w:w="0" w:type="dxa"/>
              <w:bottom w:w="0" w:type="dxa"/>
            </w:tcMar>
            <w:vAlign w:val="center"/>
          </w:tcPr>
          <w:p w14:paraId="1C735AA6"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3</w:t>
            </w:r>
          </w:p>
        </w:tc>
        <w:tc>
          <w:tcPr>
            <w:tcW w:w="1883" w:type="pct"/>
            <w:shd w:val="clear" w:color="auto" w:fill="auto"/>
            <w:tcMar>
              <w:top w:w="0" w:type="dxa"/>
              <w:bottom w:w="0" w:type="dxa"/>
            </w:tcMar>
            <w:vAlign w:val="center"/>
          </w:tcPr>
          <w:p w14:paraId="10694123"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Revenue from Financial activities</w:t>
            </w:r>
          </w:p>
        </w:tc>
        <w:tc>
          <w:tcPr>
            <w:tcW w:w="1047" w:type="pct"/>
            <w:shd w:val="clear" w:color="auto" w:fill="auto"/>
            <w:tcMar>
              <w:top w:w="0" w:type="dxa"/>
              <w:bottom w:w="0" w:type="dxa"/>
            </w:tcMar>
            <w:vAlign w:val="center"/>
          </w:tcPr>
          <w:p w14:paraId="30F4A359"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9,311,147</w:t>
            </w:r>
          </w:p>
        </w:tc>
        <w:tc>
          <w:tcPr>
            <w:tcW w:w="955" w:type="pct"/>
            <w:shd w:val="clear" w:color="auto" w:fill="auto"/>
            <w:tcMar>
              <w:top w:w="0" w:type="dxa"/>
              <w:bottom w:w="0" w:type="dxa"/>
            </w:tcMar>
            <w:vAlign w:val="center"/>
          </w:tcPr>
          <w:p w14:paraId="342B59AF"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20,146,114</w:t>
            </w:r>
          </w:p>
        </w:tc>
        <w:tc>
          <w:tcPr>
            <w:tcW w:w="712" w:type="pct"/>
            <w:shd w:val="clear" w:color="auto" w:fill="auto"/>
            <w:tcMar>
              <w:top w:w="0" w:type="dxa"/>
              <w:bottom w:w="0" w:type="dxa"/>
            </w:tcMar>
            <w:vAlign w:val="center"/>
          </w:tcPr>
          <w:p w14:paraId="7E1C6BEE"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(53.78)</w:t>
            </w:r>
          </w:p>
        </w:tc>
      </w:tr>
      <w:tr w:rsidR="00C54186" w:rsidRPr="006E7068" w14:paraId="35C47665" w14:textId="77777777" w:rsidTr="007A1E8F">
        <w:tc>
          <w:tcPr>
            <w:tcW w:w="403" w:type="pct"/>
            <w:shd w:val="clear" w:color="auto" w:fill="auto"/>
            <w:tcMar>
              <w:top w:w="0" w:type="dxa"/>
              <w:bottom w:w="0" w:type="dxa"/>
            </w:tcMar>
            <w:vAlign w:val="center"/>
          </w:tcPr>
          <w:p w14:paraId="0B3C3B0A"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4</w:t>
            </w:r>
          </w:p>
        </w:tc>
        <w:tc>
          <w:tcPr>
            <w:tcW w:w="1883" w:type="pct"/>
            <w:shd w:val="clear" w:color="auto" w:fill="auto"/>
            <w:tcMar>
              <w:top w:w="0" w:type="dxa"/>
              <w:bottom w:w="0" w:type="dxa"/>
            </w:tcMar>
            <w:vAlign w:val="center"/>
          </w:tcPr>
          <w:p w14:paraId="20B1AF13" w14:textId="4DA560A4" w:rsidR="00C54186" w:rsidRPr="006E7068" w:rsidRDefault="007A1E8F"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General and a</w:t>
            </w:r>
            <w:r w:rsidR="006E7068" w:rsidRPr="006E7068">
              <w:rPr>
                <w:rFonts w:ascii="Arial" w:hAnsi="Arial" w:cs="Arial"/>
                <w:color w:val="010000"/>
                <w:sz w:val="20"/>
              </w:rPr>
              <w:t>dministrative expense</w:t>
            </w:r>
          </w:p>
        </w:tc>
        <w:tc>
          <w:tcPr>
            <w:tcW w:w="1047" w:type="pct"/>
            <w:shd w:val="clear" w:color="auto" w:fill="auto"/>
            <w:tcMar>
              <w:top w:w="0" w:type="dxa"/>
              <w:bottom w:w="0" w:type="dxa"/>
            </w:tcMar>
            <w:vAlign w:val="center"/>
          </w:tcPr>
          <w:p w14:paraId="5B962778"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12,901,141,475</w:t>
            </w:r>
          </w:p>
        </w:tc>
        <w:tc>
          <w:tcPr>
            <w:tcW w:w="955" w:type="pct"/>
            <w:shd w:val="clear" w:color="auto" w:fill="auto"/>
            <w:tcMar>
              <w:top w:w="0" w:type="dxa"/>
              <w:bottom w:w="0" w:type="dxa"/>
            </w:tcMar>
            <w:vAlign w:val="center"/>
          </w:tcPr>
          <w:p w14:paraId="2A750FF2"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11,631,818,634</w:t>
            </w:r>
          </w:p>
        </w:tc>
        <w:tc>
          <w:tcPr>
            <w:tcW w:w="712" w:type="pct"/>
            <w:shd w:val="clear" w:color="auto" w:fill="auto"/>
            <w:tcMar>
              <w:top w:w="0" w:type="dxa"/>
              <w:bottom w:w="0" w:type="dxa"/>
            </w:tcMar>
            <w:vAlign w:val="center"/>
          </w:tcPr>
          <w:p w14:paraId="67F17939"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10.91</w:t>
            </w:r>
          </w:p>
        </w:tc>
      </w:tr>
      <w:tr w:rsidR="00C54186" w:rsidRPr="006E7068" w14:paraId="24B28263" w14:textId="77777777" w:rsidTr="007A1E8F">
        <w:tc>
          <w:tcPr>
            <w:tcW w:w="403" w:type="pct"/>
            <w:shd w:val="clear" w:color="auto" w:fill="auto"/>
            <w:tcMar>
              <w:top w:w="0" w:type="dxa"/>
              <w:bottom w:w="0" w:type="dxa"/>
            </w:tcMar>
            <w:vAlign w:val="center"/>
          </w:tcPr>
          <w:p w14:paraId="4CFECFBE"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5</w:t>
            </w:r>
          </w:p>
        </w:tc>
        <w:tc>
          <w:tcPr>
            <w:tcW w:w="1883" w:type="pct"/>
            <w:shd w:val="clear" w:color="auto" w:fill="auto"/>
            <w:tcMar>
              <w:top w:w="0" w:type="dxa"/>
              <w:bottom w:w="0" w:type="dxa"/>
            </w:tcMar>
            <w:vAlign w:val="center"/>
          </w:tcPr>
          <w:p w14:paraId="667477B3"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Other expenses</w:t>
            </w:r>
          </w:p>
        </w:tc>
        <w:tc>
          <w:tcPr>
            <w:tcW w:w="1047" w:type="pct"/>
            <w:shd w:val="clear" w:color="auto" w:fill="auto"/>
            <w:tcMar>
              <w:top w:w="0" w:type="dxa"/>
              <w:bottom w:w="0" w:type="dxa"/>
            </w:tcMar>
            <w:vAlign w:val="center"/>
          </w:tcPr>
          <w:p w14:paraId="1D20F967"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1,399,946,007</w:t>
            </w:r>
          </w:p>
        </w:tc>
        <w:tc>
          <w:tcPr>
            <w:tcW w:w="955" w:type="pct"/>
            <w:shd w:val="clear" w:color="auto" w:fill="auto"/>
            <w:tcMar>
              <w:top w:w="0" w:type="dxa"/>
              <w:bottom w:w="0" w:type="dxa"/>
            </w:tcMar>
            <w:vAlign w:val="center"/>
          </w:tcPr>
          <w:p w14:paraId="150CA310"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1,200,595</w:t>
            </w:r>
          </w:p>
        </w:tc>
        <w:tc>
          <w:tcPr>
            <w:tcW w:w="712" w:type="pct"/>
            <w:shd w:val="clear" w:color="auto" w:fill="auto"/>
            <w:tcMar>
              <w:top w:w="0" w:type="dxa"/>
              <w:bottom w:w="0" w:type="dxa"/>
            </w:tcMar>
            <w:vAlign w:val="center"/>
          </w:tcPr>
          <w:p w14:paraId="20D84A99" w14:textId="5C79420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116</w:t>
            </w:r>
            <w:r w:rsidR="007A1E8F" w:rsidRPr="006E7068">
              <w:rPr>
                <w:rFonts w:ascii="Arial" w:hAnsi="Arial" w:cs="Arial"/>
                <w:color w:val="010000"/>
                <w:sz w:val="20"/>
              </w:rPr>
              <w:t>,</w:t>
            </w:r>
            <w:r w:rsidRPr="006E7068">
              <w:rPr>
                <w:rFonts w:ascii="Arial" w:hAnsi="Arial" w:cs="Arial"/>
                <w:color w:val="010000"/>
                <w:sz w:val="20"/>
              </w:rPr>
              <w:t>504.35</w:t>
            </w:r>
          </w:p>
        </w:tc>
      </w:tr>
      <w:tr w:rsidR="00C54186" w:rsidRPr="006E7068" w14:paraId="02CE4366" w14:textId="77777777" w:rsidTr="007A1E8F">
        <w:tc>
          <w:tcPr>
            <w:tcW w:w="403" w:type="pct"/>
            <w:shd w:val="clear" w:color="auto" w:fill="auto"/>
            <w:tcMar>
              <w:top w:w="0" w:type="dxa"/>
              <w:bottom w:w="0" w:type="dxa"/>
            </w:tcMar>
            <w:vAlign w:val="center"/>
          </w:tcPr>
          <w:p w14:paraId="6F40C948"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6</w:t>
            </w:r>
          </w:p>
        </w:tc>
        <w:tc>
          <w:tcPr>
            <w:tcW w:w="1883" w:type="pct"/>
            <w:shd w:val="clear" w:color="auto" w:fill="auto"/>
            <w:tcMar>
              <w:top w:w="0" w:type="dxa"/>
              <w:bottom w:w="0" w:type="dxa"/>
            </w:tcMar>
            <w:vAlign w:val="center"/>
          </w:tcPr>
          <w:p w14:paraId="2376CDA3"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Total profit before tax</w:t>
            </w:r>
          </w:p>
        </w:tc>
        <w:tc>
          <w:tcPr>
            <w:tcW w:w="1047" w:type="pct"/>
            <w:shd w:val="clear" w:color="auto" w:fill="auto"/>
            <w:tcMar>
              <w:top w:w="0" w:type="dxa"/>
              <w:bottom w:w="0" w:type="dxa"/>
            </w:tcMar>
            <w:vAlign w:val="center"/>
          </w:tcPr>
          <w:p w14:paraId="1FBBB112"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(11,505,452,459)</w:t>
            </w:r>
          </w:p>
        </w:tc>
        <w:tc>
          <w:tcPr>
            <w:tcW w:w="955" w:type="pct"/>
            <w:shd w:val="clear" w:color="auto" w:fill="auto"/>
            <w:tcMar>
              <w:top w:w="0" w:type="dxa"/>
              <w:bottom w:w="0" w:type="dxa"/>
            </w:tcMar>
            <w:vAlign w:val="center"/>
          </w:tcPr>
          <w:p w14:paraId="7E84C49F"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14,423,902,589</w:t>
            </w:r>
          </w:p>
        </w:tc>
        <w:tc>
          <w:tcPr>
            <w:tcW w:w="712" w:type="pct"/>
            <w:shd w:val="clear" w:color="auto" w:fill="auto"/>
            <w:tcMar>
              <w:top w:w="0" w:type="dxa"/>
              <w:bottom w:w="0" w:type="dxa"/>
            </w:tcMar>
            <w:vAlign w:val="center"/>
          </w:tcPr>
          <w:p w14:paraId="4677F3BC" w14:textId="77777777" w:rsidR="00C54186" w:rsidRPr="006E7068" w:rsidRDefault="00C54186" w:rsidP="008E5656">
            <w:pPr>
              <w:tabs>
                <w:tab w:val="left" w:pos="450"/>
              </w:tabs>
              <w:spacing w:after="120" w:line="360" w:lineRule="auto"/>
              <w:jc w:val="center"/>
              <w:rPr>
                <w:rFonts w:ascii="Arial" w:eastAsia="Arial" w:hAnsi="Arial" w:cs="Arial"/>
                <w:color w:val="010000"/>
                <w:sz w:val="20"/>
                <w:szCs w:val="20"/>
              </w:rPr>
            </w:pPr>
          </w:p>
        </w:tc>
      </w:tr>
      <w:tr w:rsidR="00C54186" w:rsidRPr="006E7068" w14:paraId="7BCE9AD4" w14:textId="77777777" w:rsidTr="007A1E8F">
        <w:tc>
          <w:tcPr>
            <w:tcW w:w="403" w:type="pct"/>
            <w:shd w:val="clear" w:color="auto" w:fill="auto"/>
            <w:tcMar>
              <w:top w:w="0" w:type="dxa"/>
              <w:bottom w:w="0" w:type="dxa"/>
            </w:tcMar>
            <w:vAlign w:val="center"/>
          </w:tcPr>
          <w:p w14:paraId="3DFC5A33"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7</w:t>
            </w:r>
          </w:p>
        </w:tc>
        <w:tc>
          <w:tcPr>
            <w:tcW w:w="1883" w:type="pct"/>
            <w:shd w:val="clear" w:color="auto" w:fill="auto"/>
            <w:tcMar>
              <w:top w:w="0" w:type="dxa"/>
              <w:bottom w:w="0" w:type="dxa"/>
            </w:tcMar>
            <w:vAlign w:val="center"/>
          </w:tcPr>
          <w:p w14:paraId="151D2E93"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Corporate income tax expense</w:t>
            </w:r>
          </w:p>
        </w:tc>
        <w:tc>
          <w:tcPr>
            <w:tcW w:w="1047" w:type="pct"/>
            <w:shd w:val="clear" w:color="auto" w:fill="auto"/>
            <w:tcMar>
              <w:top w:w="0" w:type="dxa"/>
              <w:bottom w:w="0" w:type="dxa"/>
            </w:tcMar>
            <w:vAlign w:val="center"/>
          </w:tcPr>
          <w:p w14:paraId="1B9071EE"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1,159,386,089</w:t>
            </w:r>
          </w:p>
        </w:tc>
        <w:tc>
          <w:tcPr>
            <w:tcW w:w="955" w:type="pct"/>
            <w:shd w:val="clear" w:color="auto" w:fill="auto"/>
            <w:tcMar>
              <w:top w:w="0" w:type="dxa"/>
              <w:bottom w:w="0" w:type="dxa"/>
            </w:tcMar>
            <w:vAlign w:val="center"/>
          </w:tcPr>
          <w:p w14:paraId="0F6F779A"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1,725,634,548</w:t>
            </w:r>
          </w:p>
        </w:tc>
        <w:tc>
          <w:tcPr>
            <w:tcW w:w="712" w:type="pct"/>
            <w:shd w:val="clear" w:color="auto" w:fill="auto"/>
            <w:tcMar>
              <w:top w:w="0" w:type="dxa"/>
              <w:bottom w:w="0" w:type="dxa"/>
            </w:tcMar>
            <w:vAlign w:val="center"/>
          </w:tcPr>
          <w:p w14:paraId="424C1501"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(32.81)</w:t>
            </w:r>
          </w:p>
        </w:tc>
      </w:tr>
      <w:tr w:rsidR="00C54186" w:rsidRPr="006E7068" w14:paraId="7EBC108F" w14:textId="77777777" w:rsidTr="007A1E8F">
        <w:tc>
          <w:tcPr>
            <w:tcW w:w="403" w:type="pct"/>
            <w:shd w:val="clear" w:color="auto" w:fill="auto"/>
            <w:tcMar>
              <w:top w:w="0" w:type="dxa"/>
              <w:bottom w:w="0" w:type="dxa"/>
            </w:tcMar>
            <w:vAlign w:val="center"/>
          </w:tcPr>
          <w:p w14:paraId="4016C48E"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8</w:t>
            </w:r>
          </w:p>
        </w:tc>
        <w:tc>
          <w:tcPr>
            <w:tcW w:w="1883" w:type="pct"/>
            <w:shd w:val="clear" w:color="auto" w:fill="auto"/>
            <w:tcMar>
              <w:top w:w="0" w:type="dxa"/>
              <w:bottom w:w="0" w:type="dxa"/>
            </w:tcMar>
            <w:vAlign w:val="center"/>
          </w:tcPr>
          <w:p w14:paraId="447F5A12"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Profit after tax</w:t>
            </w:r>
          </w:p>
        </w:tc>
        <w:tc>
          <w:tcPr>
            <w:tcW w:w="1047" w:type="pct"/>
            <w:shd w:val="clear" w:color="auto" w:fill="auto"/>
            <w:tcMar>
              <w:top w:w="0" w:type="dxa"/>
              <w:bottom w:w="0" w:type="dxa"/>
            </w:tcMar>
            <w:vAlign w:val="center"/>
          </w:tcPr>
          <w:p w14:paraId="64AF4040"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912,664,838,548)</w:t>
            </w:r>
          </w:p>
        </w:tc>
        <w:tc>
          <w:tcPr>
            <w:tcW w:w="955" w:type="pct"/>
            <w:shd w:val="clear" w:color="auto" w:fill="auto"/>
            <w:tcMar>
              <w:top w:w="0" w:type="dxa"/>
              <w:bottom w:w="0" w:type="dxa"/>
            </w:tcMar>
            <w:vAlign w:val="center"/>
          </w:tcPr>
          <w:p w14:paraId="3240BDAE"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12,698,268,041</w:t>
            </w:r>
          </w:p>
        </w:tc>
        <w:tc>
          <w:tcPr>
            <w:tcW w:w="712" w:type="pct"/>
            <w:shd w:val="clear" w:color="auto" w:fill="auto"/>
            <w:tcMar>
              <w:top w:w="0" w:type="dxa"/>
              <w:bottom w:w="0" w:type="dxa"/>
            </w:tcMar>
            <w:vAlign w:val="center"/>
          </w:tcPr>
          <w:p w14:paraId="78B97B4C" w14:textId="77777777" w:rsidR="00C54186" w:rsidRPr="006E7068" w:rsidRDefault="00C54186" w:rsidP="008E5656">
            <w:pPr>
              <w:tabs>
                <w:tab w:val="left" w:pos="450"/>
              </w:tabs>
              <w:spacing w:after="120" w:line="360" w:lineRule="auto"/>
              <w:jc w:val="center"/>
              <w:rPr>
                <w:rFonts w:ascii="Arial" w:eastAsia="Arial" w:hAnsi="Arial" w:cs="Arial"/>
                <w:color w:val="010000"/>
                <w:sz w:val="20"/>
                <w:szCs w:val="20"/>
              </w:rPr>
            </w:pPr>
          </w:p>
        </w:tc>
      </w:tr>
    </w:tbl>
    <w:p w14:paraId="0FD44B31"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Reason:</w:t>
      </w:r>
    </w:p>
    <w:p w14:paraId="5E555969" w14:textId="075F4F75" w:rsidR="00C54186" w:rsidRPr="006E7068" w:rsidRDefault="006E7068" w:rsidP="008E5656">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6E7068">
        <w:rPr>
          <w:rFonts w:ascii="Arial" w:hAnsi="Arial" w:cs="Arial"/>
          <w:color w:val="010000"/>
          <w:sz w:val="20"/>
        </w:rPr>
        <w:t>In 2023, the securities market faced difficulties, with the company experiencing a low customer growth rate and a decrease in customer assets, leading to a significant decline in the company's operating revenue (</w:t>
      </w:r>
      <w:r w:rsidR="007A1E8F" w:rsidRPr="006E7068">
        <w:rPr>
          <w:rFonts w:ascii="Arial" w:hAnsi="Arial" w:cs="Arial"/>
          <w:color w:val="010000"/>
          <w:sz w:val="20"/>
        </w:rPr>
        <w:t>decreased</w:t>
      </w:r>
      <w:r w:rsidRPr="006E7068">
        <w:rPr>
          <w:rFonts w:ascii="Arial" w:hAnsi="Arial" w:cs="Arial"/>
          <w:color w:val="010000"/>
          <w:sz w:val="20"/>
        </w:rPr>
        <w:t xml:space="preserve"> by 67.14%) compared to 2022, specifically: In 2023, the revenue from proprietary trading activities decreased sharply by 70.36% compared to 2022. Additionally, brokerage revenue in 2023 decreased by 68.43% compared to 2022, and revenue from securities investment </w:t>
      </w:r>
      <w:r w:rsidR="007A1E8F" w:rsidRPr="006E7068">
        <w:rPr>
          <w:rFonts w:ascii="Arial" w:hAnsi="Arial" w:cs="Arial"/>
          <w:color w:val="010000"/>
          <w:sz w:val="20"/>
        </w:rPr>
        <w:t>consulting</w:t>
      </w:r>
      <w:r w:rsidRPr="006E7068">
        <w:rPr>
          <w:rFonts w:ascii="Arial" w:hAnsi="Arial" w:cs="Arial"/>
          <w:color w:val="010000"/>
          <w:sz w:val="20"/>
        </w:rPr>
        <w:t xml:space="preserve"> activities in 2023 decreased by 56.56% compared to 2022.</w:t>
      </w:r>
    </w:p>
    <w:p w14:paraId="0B53FD58" w14:textId="4140EC3A" w:rsidR="00C54186" w:rsidRPr="006E7068" w:rsidRDefault="006E7068" w:rsidP="008E5656">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6E7068">
        <w:rPr>
          <w:rFonts w:ascii="Arial" w:hAnsi="Arial" w:cs="Arial"/>
          <w:color w:val="010000"/>
          <w:sz w:val="20"/>
        </w:rPr>
        <w:t xml:space="preserve">The company's operating expenses in 2023 decreased by 20.25% compared to 2022, primarily due to ensuring the safety of proprietary trading operations, thus avoiding significant losses from </w:t>
      </w:r>
      <w:r w:rsidR="001B7419" w:rsidRPr="006E7068">
        <w:rPr>
          <w:rFonts w:ascii="Arial" w:hAnsi="Arial" w:cs="Arial"/>
          <w:color w:val="010000"/>
          <w:sz w:val="20"/>
        </w:rPr>
        <w:t>FVTPL</w:t>
      </w:r>
      <w:r w:rsidRPr="006E7068">
        <w:rPr>
          <w:rFonts w:ascii="Arial" w:hAnsi="Arial" w:cs="Arial"/>
          <w:color w:val="010000"/>
          <w:sz w:val="20"/>
        </w:rPr>
        <w:t>.</w:t>
      </w:r>
    </w:p>
    <w:p w14:paraId="302AD789" w14:textId="2D548F35" w:rsidR="00C54186" w:rsidRPr="006E7068" w:rsidRDefault="006E7068" w:rsidP="008E5656">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6E7068">
        <w:rPr>
          <w:rFonts w:ascii="Arial" w:hAnsi="Arial" w:cs="Arial"/>
          <w:color w:val="010000"/>
          <w:sz w:val="20"/>
        </w:rPr>
        <w:t>The general and administrative expense</w:t>
      </w:r>
      <w:r w:rsidR="001B7419" w:rsidRPr="006E7068">
        <w:rPr>
          <w:rFonts w:ascii="Arial" w:hAnsi="Arial" w:cs="Arial"/>
          <w:color w:val="010000"/>
          <w:sz w:val="20"/>
        </w:rPr>
        <w:t>s</w:t>
      </w:r>
      <w:r w:rsidRPr="006E7068">
        <w:rPr>
          <w:rFonts w:ascii="Arial" w:hAnsi="Arial" w:cs="Arial"/>
          <w:color w:val="010000"/>
          <w:sz w:val="20"/>
        </w:rPr>
        <w:t xml:space="preserve"> </w:t>
      </w:r>
      <w:r w:rsidR="008E5656">
        <w:rPr>
          <w:rFonts w:ascii="Arial" w:hAnsi="Arial" w:cs="Arial"/>
          <w:color w:val="010000"/>
          <w:sz w:val="20"/>
        </w:rPr>
        <w:t xml:space="preserve">in </w:t>
      </w:r>
      <w:r w:rsidR="001B7419" w:rsidRPr="006E7068">
        <w:rPr>
          <w:rFonts w:ascii="Arial" w:hAnsi="Arial" w:cs="Arial"/>
          <w:color w:val="010000"/>
          <w:sz w:val="20"/>
        </w:rPr>
        <w:t xml:space="preserve">2023 </w:t>
      </w:r>
      <w:r w:rsidRPr="006E7068">
        <w:rPr>
          <w:rFonts w:ascii="Arial" w:hAnsi="Arial" w:cs="Arial"/>
          <w:color w:val="010000"/>
          <w:sz w:val="20"/>
        </w:rPr>
        <w:t xml:space="preserve">slightly </w:t>
      </w:r>
      <w:r w:rsidR="008E5656">
        <w:rPr>
          <w:rFonts w:ascii="Arial" w:hAnsi="Arial" w:cs="Arial"/>
          <w:color w:val="010000"/>
          <w:sz w:val="20"/>
        </w:rPr>
        <w:t>increased</w:t>
      </w:r>
      <w:r w:rsidRPr="006E7068">
        <w:rPr>
          <w:rFonts w:ascii="Arial" w:hAnsi="Arial" w:cs="Arial"/>
          <w:color w:val="010000"/>
          <w:sz w:val="20"/>
        </w:rPr>
        <w:t xml:space="preserve"> </w:t>
      </w:r>
      <w:r w:rsidR="001B7419" w:rsidRPr="006E7068">
        <w:rPr>
          <w:rFonts w:ascii="Arial" w:hAnsi="Arial" w:cs="Arial"/>
          <w:color w:val="010000"/>
          <w:sz w:val="20"/>
        </w:rPr>
        <w:t xml:space="preserve">by </w:t>
      </w:r>
      <w:r w:rsidRPr="006E7068">
        <w:rPr>
          <w:rFonts w:ascii="Arial" w:hAnsi="Arial" w:cs="Arial"/>
          <w:color w:val="010000"/>
          <w:sz w:val="20"/>
        </w:rPr>
        <w:t xml:space="preserve">10.91% compared to that </w:t>
      </w:r>
      <w:r w:rsidR="008E5656">
        <w:rPr>
          <w:rFonts w:ascii="Arial" w:hAnsi="Arial" w:cs="Arial"/>
          <w:color w:val="010000"/>
          <w:sz w:val="20"/>
        </w:rPr>
        <w:t>in</w:t>
      </w:r>
      <w:r w:rsidRPr="006E7068">
        <w:rPr>
          <w:rFonts w:ascii="Arial" w:hAnsi="Arial" w:cs="Arial"/>
          <w:color w:val="010000"/>
          <w:sz w:val="20"/>
        </w:rPr>
        <w:t xml:space="preserve"> 2022;</w:t>
      </w:r>
    </w:p>
    <w:p w14:paraId="769B6FF1" w14:textId="0D3ADCEF" w:rsidR="00C54186" w:rsidRPr="006E7068" w:rsidRDefault="006E7068" w:rsidP="008E5656">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6E7068">
        <w:rPr>
          <w:rFonts w:ascii="Arial" w:hAnsi="Arial" w:cs="Arial"/>
          <w:color w:val="010000"/>
          <w:sz w:val="20"/>
        </w:rPr>
        <w:t>Other expenses of the company in 2023 increased significantly by 116</w:t>
      </w:r>
      <w:r w:rsidR="001B7419" w:rsidRPr="006E7068">
        <w:rPr>
          <w:rFonts w:ascii="Arial" w:hAnsi="Arial" w:cs="Arial"/>
          <w:color w:val="010000"/>
          <w:sz w:val="20"/>
        </w:rPr>
        <w:t>,</w:t>
      </w:r>
      <w:r w:rsidRPr="006E7068">
        <w:rPr>
          <w:rFonts w:ascii="Arial" w:hAnsi="Arial" w:cs="Arial"/>
          <w:color w:val="010000"/>
          <w:sz w:val="20"/>
        </w:rPr>
        <w:t>504.35% compared to 2022;</w:t>
      </w:r>
    </w:p>
    <w:p w14:paraId="44227433" w14:textId="2006A4B2" w:rsidR="00C54186" w:rsidRPr="006E7068" w:rsidRDefault="006E7068" w:rsidP="008E5656">
      <w:pPr>
        <w:pBdr>
          <w:top w:val="nil"/>
          <w:left w:val="nil"/>
          <w:bottom w:val="nil"/>
          <w:right w:val="nil"/>
          <w:between w:val="nil"/>
        </w:pBdr>
        <w:tabs>
          <w:tab w:val="left" w:pos="450"/>
        </w:tabs>
        <w:spacing w:after="120" w:line="360" w:lineRule="auto"/>
        <w:jc w:val="both"/>
        <w:rPr>
          <w:rFonts w:ascii="Arial" w:hAnsi="Arial" w:cs="Arial"/>
          <w:color w:val="010000"/>
          <w:sz w:val="20"/>
        </w:rPr>
      </w:pPr>
      <w:r w:rsidRPr="006E7068">
        <w:rPr>
          <w:rFonts w:ascii="Arial" w:hAnsi="Arial" w:cs="Arial"/>
          <w:color w:val="010000"/>
          <w:sz w:val="20"/>
        </w:rPr>
        <w:t xml:space="preserve">Thus, due to the deeper decrease in revenue compared to the decrease in expenses, the profit after tax </w:t>
      </w:r>
      <w:r w:rsidR="008E5656">
        <w:rPr>
          <w:rFonts w:ascii="Arial" w:hAnsi="Arial" w:cs="Arial"/>
          <w:color w:val="010000"/>
          <w:sz w:val="20"/>
        </w:rPr>
        <w:t xml:space="preserve">in </w:t>
      </w:r>
      <w:r w:rsidRPr="006E7068">
        <w:rPr>
          <w:rFonts w:ascii="Arial" w:hAnsi="Arial" w:cs="Arial"/>
          <w:color w:val="010000"/>
          <w:sz w:val="20"/>
        </w:rPr>
        <w:t>2023 decreased significantly compared to 2022.</w:t>
      </w:r>
    </w:p>
    <w:p w14:paraId="298E9BAF" w14:textId="254B6456" w:rsidR="001B7419" w:rsidRPr="006E7068" w:rsidRDefault="001B7419" w:rsidP="008E5656">
      <w:pPr>
        <w:pBdr>
          <w:top w:val="nil"/>
          <w:left w:val="nil"/>
          <w:bottom w:val="single" w:sz="6" w:space="1" w:color="auto"/>
          <w:right w:val="nil"/>
          <w:between w:val="nil"/>
        </w:pBdr>
        <w:tabs>
          <w:tab w:val="left" w:pos="450"/>
        </w:tabs>
        <w:spacing w:after="120" w:line="360" w:lineRule="auto"/>
        <w:jc w:val="both"/>
        <w:rPr>
          <w:rFonts w:ascii="Arial" w:hAnsi="Arial" w:cs="Arial"/>
          <w:color w:val="010000"/>
          <w:sz w:val="20"/>
        </w:rPr>
      </w:pPr>
    </w:p>
    <w:p w14:paraId="77C6783F" w14:textId="670430B3"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 xml:space="preserve">On March 28, 2024, Viet Nam Construction Securities Joint Stock Company announced Official Dispatch No. 20/2024/CSI/CV-TGD </w:t>
      </w:r>
      <w:r w:rsidR="001B7419" w:rsidRPr="006E7068">
        <w:rPr>
          <w:rFonts w:ascii="Arial" w:hAnsi="Arial" w:cs="Arial"/>
          <w:color w:val="010000"/>
          <w:sz w:val="20"/>
        </w:rPr>
        <w:t xml:space="preserve">on </w:t>
      </w:r>
      <w:r w:rsidRPr="006E7068">
        <w:rPr>
          <w:rFonts w:ascii="Arial" w:hAnsi="Arial" w:cs="Arial"/>
          <w:color w:val="010000"/>
          <w:sz w:val="20"/>
        </w:rPr>
        <w:t xml:space="preserve">the explanation of the </w:t>
      </w:r>
      <w:r w:rsidR="001B7419" w:rsidRPr="006E7068">
        <w:rPr>
          <w:rFonts w:ascii="Arial" w:hAnsi="Arial" w:cs="Arial"/>
          <w:color w:val="010000"/>
          <w:sz w:val="20"/>
        </w:rPr>
        <w:t xml:space="preserve">loss in </w:t>
      </w:r>
      <w:r w:rsidRPr="006E7068">
        <w:rPr>
          <w:rFonts w:ascii="Arial" w:hAnsi="Arial" w:cs="Arial"/>
          <w:color w:val="010000"/>
          <w:sz w:val="20"/>
        </w:rPr>
        <w:t>profit after tax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
        <w:gridCol w:w="5760"/>
        <w:gridCol w:w="2718"/>
      </w:tblGrid>
      <w:tr w:rsidR="00C54186" w:rsidRPr="006E7068" w14:paraId="56411F0F" w14:textId="77777777" w:rsidTr="008E5656">
        <w:tc>
          <w:tcPr>
            <w:tcW w:w="297" w:type="pct"/>
            <w:shd w:val="clear" w:color="auto" w:fill="auto"/>
            <w:tcMar>
              <w:top w:w="0" w:type="dxa"/>
              <w:bottom w:w="0" w:type="dxa"/>
            </w:tcMar>
            <w:vAlign w:val="center"/>
          </w:tcPr>
          <w:p w14:paraId="60A30684" w14:textId="77777777" w:rsidR="00C54186" w:rsidRPr="001C5FAE"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lastRenderedPageBreak/>
              <w:t>No.</w:t>
            </w:r>
          </w:p>
        </w:tc>
        <w:tc>
          <w:tcPr>
            <w:tcW w:w="3195" w:type="pct"/>
            <w:shd w:val="clear" w:color="auto" w:fill="auto"/>
            <w:tcMar>
              <w:top w:w="0" w:type="dxa"/>
              <w:bottom w:w="0" w:type="dxa"/>
            </w:tcMar>
            <w:vAlign w:val="center"/>
          </w:tcPr>
          <w:p w14:paraId="693DD09D" w14:textId="77777777" w:rsidR="00C54186" w:rsidRPr="001C5FAE"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Content</w:t>
            </w:r>
          </w:p>
        </w:tc>
        <w:tc>
          <w:tcPr>
            <w:tcW w:w="1509" w:type="pct"/>
            <w:shd w:val="clear" w:color="auto" w:fill="auto"/>
            <w:tcMar>
              <w:top w:w="0" w:type="dxa"/>
              <w:bottom w:w="0" w:type="dxa"/>
            </w:tcMar>
            <w:vAlign w:val="center"/>
          </w:tcPr>
          <w:p w14:paraId="03790F00" w14:textId="77777777" w:rsidR="00C54186" w:rsidRPr="001C5FAE"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b/>
                <w:color w:val="010000"/>
                <w:sz w:val="20"/>
                <w:szCs w:val="20"/>
              </w:rPr>
            </w:pPr>
            <w:r w:rsidRPr="001C5FAE">
              <w:rPr>
                <w:rFonts w:ascii="Arial" w:hAnsi="Arial" w:cs="Arial"/>
                <w:b/>
                <w:color w:val="010000"/>
                <w:sz w:val="20"/>
              </w:rPr>
              <w:t>2023 (VND)</w:t>
            </w:r>
          </w:p>
        </w:tc>
      </w:tr>
      <w:tr w:rsidR="00C54186" w:rsidRPr="006E7068" w14:paraId="2E0C84C5" w14:textId="77777777" w:rsidTr="008E5656">
        <w:tc>
          <w:tcPr>
            <w:tcW w:w="297" w:type="pct"/>
            <w:shd w:val="clear" w:color="auto" w:fill="auto"/>
            <w:tcMar>
              <w:top w:w="0" w:type="dxa"/>
              <w:bottom w:w="0" w:type="dxa"/>
            </w:tcMar>
            <w:vAlign w:val="center"/>
          </w:tcPr>
          <w:p w14:paraId="1B5154CC"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w:t>
            </w:r>
          </w:p>
        </w:tc>
        <w:tc>
          <w:tcPr>
            <w:tcW w:w="3195" w:type="pct"/>
            <w:shd w:val="clear" w:color="auto" w:fill="auto"/>
            <w:tcMar>
              <w:top w:w="0" w:type="dxa"/>
              <w:bottom w:w="0" w:type="dxa"/>
            </w:tcMar>
            <w:vAlign w:val="center"/>
          </w:tcPr>
          <w:p w14:paraId="1A2EE17D" w14:textId="77777777" w:rsidR="00C54186" w:rsidRPr="006E7068" w:rsidRDefault="006E7068" w:rsidP="008E5656">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6E7068">
              <w:rPr>
                <w:rFonts w:ascii="Arial" w:hAnsi="Arial" w:cs="Arial"/>
                <w:color w:val="010000"/>
                <w:sz w:val="20"/>
              </w:rPr>
              <w:t>Operating revenue</w:t>
            </w:r>
          </w:p>
        </w:tc>
        <w:tc>
          <w:tcPr>
            <w:tcW w:w="1509" w:type="pct"/>
            <w:shd w:val="clear" w:color="auto" w:fill="auto"/>
            <w:tcMar>
              <w:top w:w="0" w:type="dxa"/>
              <w:bottom w:w="0" w:type="dxa"/>
            </w:tcMar>
            <w:vAlign w:val="center"/>
          </w:tcPr>
          <w:p w14:paraId="138D47EA"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12,596,729,913</w:t>
            </w:r>
          </w:p>
        </w:tc>
      </w:tr>
      <w:tr w:rsidR="00C54186" w:rsidRPr="006E7068" w14:paraId="5FF8092A" w14:textId="77777777" w:rsidTr="008E5656">
        <w:tc>
          <w:tcPr>
            <w:tcW w:w="297" w:type="pct"/>
            <w:shd w:val="clear" w:color="auto" w:fill="auto"/>
            <w:tcMar>
              <w:top w:w="0" w:type="dxa"/>
              <w:bottom w:w="0" w:type="dxa"/>
            </w:tcMar>
            <w:vAlign w:val="center"/>
          </w:tcPr>
          <w:p w14:paraId="314E4C37"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2</w:t>
            </w:r>
          </w:p>
        </w:tc>
        <w:tc>
          <w:tcPr>
            <w:tcW w:w="3195" w:type="pct"/>
            <w:shd w:val="clear" w:color="auto" w:fill="auto"/>
            <w:tcMar>
              <w:top w:w="0" w:type="dxa"/>
              <w:bottom w:w="0" w:type="dxa"/>
            </w:tcMar>
            <w:vAlign w:val="center"/>
          </w:tcPr>
          <w:p w14:paraId="23CE9ADF" w14:textId="77777777" w:rsidR="00C54186" w:rsidRPr="006E7068" w:rsidRDefault="006E7068" w:rsidP="008E5656">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6E7068">
              <w:rPr>
                <w:rFonts w:ascii="Arial" w:hAnsi="Arial" w:cs="Arial"/>
                <w:color w:val="010000"/>
                <w:sz w:val="20"/>
              </w:rPr>
              <w:t>Operating expense</w:t>
            </w:r>
          </w:p>
        </w:tc>
        <w:tc>
          <w:tcPr>
            <w:tcW w:w="1509" w:type="pct"/>
            <w:shd w:val="clear" w:color="auto" w:fill="auto"/>
            <w:tcMar>
              <w:top w:w="0" w:type="dxa"/>
              <w:bottom w:w="0" w:type="dxa"/>
            </w:tcMar>
            <w:vAlign w:val="center"/>
          </w:tcPr>
          <w:p w14:paraId="48181C07"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9,810,406,041</w:t>
            </w:r>
          </w:p>
        </w:tc>
      </w:tr>
      <w:tr w:rsidR="00C54186" w:rsidRPr="006E7068" w14:paraId="47394465" w14:textId="77777777" w:rsidTr="008E5656">
        <w:tc>
          <w:tcPr>
            <w:tcW w:w="297" w:type="pct"/>
            <w:shd w:val="clear" w:color="auto" w:fill="auto"/>
            <w:tcMar>
              <w:top w:w="0" w:type="dxa"/>
              <w:bottom w:w="0" w:type="dxa"/>
            </w:tcMar>
            <w:vAlign w:val="center"/>
          </w:tcPr>
          <w:p w14:paraId="49847B2E"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3</w:t>
            </w:r>
          </w:p>
        </w:tc>
        <w:tc>
          <w:tcPr>
            <w:tcW w:w="3195" w:type="pct"/>
            <w:shd w:val="clear" w:color="auto" w:fill="auto"/>
            <w:tcMar>
              <w:top w:w="0" w:type="dxa"/>
              <w:bottom w:w="0" w:type="dxa"/>
            </w:tcMar>
            <w:vAlign w:val="center"/>
          </w:tcPr>
          <w:p w14:paraId="7A767544" w14:textId="710868C5" w:rsidR="00C54186" w:rsidRPr="006E7068" w:rsidRDefault="006E7068" w:rsidP="008E5656">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6E7068">
              <w:rPr>
                <w:rFonts w:ascii="Arial" w:hAnsi="Arial" w:cs="Arial"/>
                <w:color w:val="010000"/>
                <w:sz w:val="20"/>
              </w:rPr>
              <w:t>General and administrative expenses</w:t>
            </w:r>
          </w:p>
        </w:tc>
        <w:tc>
          <w:tcPr>
            <w:tcW w:w="1509" w:type="pct"/>
            <w:shd w:val="clear" w:color="auto" w:fill="auto"/>
            <w:tcMar>
              <w:top w:w="0" w:type="dxa"/>
              <w:bottom w:w="0" w:type="dxa"/>
            </w:tcMar>
            <w:vAlign w:val="center"/>
          </w:tcPr>
          <w:p w14:paraId="2D7D9E93"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12,901,141,475</w:t>
            </w:r>
          </w:p>
        </w:tc>
      </w:tr>
      <w:tr w:rsidR="00C54186" w:rsidRPr="006E7068" w14:paraId="2CA4522A" w14:textId="77777777" w:rsidTr="008E5656">
        <w:tc>
          <w:tcPr>
            <w:tcW w:w="297" w:type="pct"/>
            <w:shd w:val="clear" w:color="auto" w:fill="auto"/>
            <w:tcMar>
              <w:top w:w="0" w:type="dxa"/>
              <w:bottom w:w="0" w:type="dxa"/>
            </w:tcMar>
            <w:vAlign w:val="center"/>
          </w:tcPr>
          <w:p w14:paraId="7B01AC1B"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4</w:t>
            </w:r>
          </w:p>
        </w:tc>
        <w:tc>
          <w:tcPr>
            <w:tcW w:w="3195" w:type="pct"/>
            <w:shd w:val="clear" w:color="auto" w:fill="auto"/>
            <w:tcMar>
              <w:top w:w="0" w:type="dxa"/>
              <w:bottom w:w="0" w:type="dxa"/>
            </w:tcMar>
            <w:vAlign w:val="center"/>
          </w:tcPr>
          <w:p w14:paraId="0A348AB6" w14:textId="6AA83A83" w:rsidR="00C54186" w:rsidRPr="006E7068" w:rsidRDefault="006E7068" w:rsidP="008E5656">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6E7068">
              <w:rPr>
                <w:rFonts w:ascii="Arial" w:hAnsi="Arial" w:cs="Arial"/>
                <w:color w:val="010000"/>
                <w:sz w:val="20"/>
              </w:rPr>
              <w:t>Other expenses</w:t>
            </w:r>
          </w:p>
        </w:tc>
        <w:tc>
          <w:tcPr>
            <w:tcW w:w="1509" w:type="pct"/>
            <w:shd w:val="clear" w:color="auto" w:fill="auto"/>
            <w:tcMar>
              <w:top w:w="0" w:type="dxa"/>
              <w:bottom w:w="0" w:type="dxa"/>
            </w:tcMar>
            <w:vAlign w:val="center"/>
          </w:tcPr>
          <w:p w14:paraId="1CBA282F"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1,399,946,007</w:t>
            </w:r>
          </w:p>
        </w:tc>
      </w:tr>
      <w:tr w:rsidR="00C54186" w:rsidRPr="006E7068" w14:paraId="6C015409" w14:textId="77777777" w:rsidTr="008E5656">
        <w:tc>
          <w:tcPr>
            <w:tcW w:w="297" w:type="pct"/>
            <w:shd w:val="clear" w:color="auto" w:fill="auto"/>
            <w:tcMar>
              <w:top w:w="0" w:type="dxa"/>
              <w:bottom w:w="0" w:type="dxa"/>
            </w:tcMar>
            <w:vAlign w:val="center"/>
          </w:tcPr>
          <w:p w14:paraId="36F0ECDA"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5</w:t>
            </w:r>
          </w:p>
        </w:tc>
        <w:tc>
          <w:tcPr>
            <w:tcW w:w="3195" w:type="pct"/>
            <w:shd w:val="clear" w:color="auto" w:fill="auto"/>
            <w:tcMar>
              <w:top w:w="0" w:type="dxa"/>
              <w:bottom w:w="0" w:type="dxa"/>
            </w:tcMar>
            <w:vAlign w:val="center"/>
          </w:tcPr>
          <w:p w14:paraId="53BB27A2" w14:textId="10CBB5E8" w:rsidR="00C54186" w:rsidRPr="006E7068" w:rsidRDefault="006E7068" w:rsidP="008E5656">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6E7068">
              <w:rPr>
                <w:rFonts w:ascii="Arial" w:hAnsi="Arial" w:cs="Arial"/>
                <w:color w:val="010000"/>
                <w:sz w:val="20"/>
              </w:rPr>
              <w:t>Corporate income tax expense:</w:t>
            </w:r>
          </w:p>
          <w:p w14:paraId="4DEC53C8" w14:textId="2ED8F9EA" w:rsidR="00C54186" w:rsidRPr="008E5656" w:rsidRDefault="006E7068" w:rsidP="008E5656">
            <w:pPr>
              <w:pStyle w:val="ListParagraph"/>
              <w:numPr>
                <w:ilvl w:val="0"/>
                <w:numId w:val="2"/>
              </w:num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8E5656">
              <w:rPr>
                <w:rFonts w:ascii="Arial" w:hAnsi="Arial" w:cs="Arial"/>
                <w:color w:val="010000"/>
                <w:sz w:val="20"/>
              </w:rPr>
              <w:t>Deferred corporate income tax expense</w:t>
            </w:r>
          </w:p>
        </w:tc>
        <w:tc>
          <w:tcPr>
            <w:tcW w:w="1509" w:type="pct"/>
            <w:shd w:val="clear" w:color="auto" w:fill="auto"/>
            <w:tcMar>
              <w:top w:w="0" w:type="dxa"/>
              <w:bottom w:w="0" w:type="dxa"/>
            </w:tcMar>
            <w:vAlign w:val="center"/>
          </w:tcPr>
          <w:p w14:paraId="7E570900"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1,159,386,089</w:t>
            </w:r>
          </w:p>
        </w:tc>
      </w:tr>
      <w:tr w:rsidR="00C54186" w:rsidRPr="006E7068" w14:paraId="02AF0750" w14:textId="77777777" w:rsidTr="008E5656">
        <w:tc>
          <w:tcPr>
            <w:tcW w:w="297" w:type="pct"/>
            <w:shd w:val="clear" w:color="auto" w:fill="auto"/>
            <w:tcMar>
              <w:top w:w="0" w:type="dxa"/>
              <w:bottom w:w="0" w:type="dxa"/>
            </w:tcMar>
            <w:vAlign w:val="center"/>
          </w:tcPr>
          <w:p w14:paraId="0A01D409" w14:textId="77777777"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6</w:t>
            </w:r>
          </w:p>
        </w:tc>
        <w:tc>
          <w:tcPr>
            <w:tcW w:w="3195" w:type="pct"/>
            <w:shd w:val="clear" w:color="auto" w:fill="auto"/>
            <w:tcMar>
              <w:top w:w="0" w:type="dxa"/>
              <w:bottom w:w="0" w:type="dxa"/>
            </w:tcMar>
            <w:vAlign w:val="center"/>
          </w:tcPr>
          <w:p w14:paraId="03300D01" w14:textId="77777777" w:rsidR="00C54186" w:rsidRPr="006E7068" w:rsidRDefault="006E7068" w:rsidP="008E5656">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6E7068">
              <w:rPr>
                <w:rFonts w:ascii="Arial" w:hAnsi="Arial" w:cs="Arial"/>
                <w:color w:val="010000"/>
                <w:sz w:val="20"/>
              </w:rPr>
              <w:t>Profit after tax</w:t>
            </w:r>
          </w:p>
        </w:tc>
        <w:tc>
          <w:tcPr>
            <w:tcW w:w="1509" w:type="pct"/>
            <w:shd w:val="clear" w:color="auto" w:fill="auto"/>
            <w:tcMar>
              <w:top w:w="0" w:type="dxa"/>
              <w:bottom w:w="0" w:type="dxa"/>
            </w:tcMar>
            <w:vAlign w:val="center"/>
          </w:tcPr>
          <w:p w14:paraId="656F8786" w14:textId="7FB47F63" w:rsidR="00C54186" w:rsidRPr="006E7068" w:rsidRDefault="006E7068" w:rsidP="008E5656">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6E7068">
              <w:rPr>
                <w:rFonts w:ascii="Arial" w:hAnsi="Arial" w:cs="Arial"/>
                <w:color w:val="010000"/>
                <w:sz w:val="20"/>
              </w:rPr>
              <w:t>(12,664,838,548)</w:t>
            </w:r>
          </w:p>
        </w:tc>
      </w:tr>
    </w:tbl>
    <w:p w14:paraId="0FB83433" w14:textId="77777777"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Reason:</w:t>
      </w:r>
    </w:p>
    <w:p w14:paraId="28B73B7C" w14:textId="68ECF03F"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In 2023, the company experienced a low customer growth rate, resulting in a decrease in customer assets. Therefore, the company's operating revenue amounted to VND 12,596,729,913. Meanwhile, the operating expenses of the company were</w:t>
      </w:r>
      <w:r w:rsidR="007A1E8F" w:rsidRPr="006E7068">
        <w:rPr>
          <w:rFonts w:ascii="Arial" w:hAnsi="Arial" w:cs="Arial"/>
          <w:color w:val="010000"/>
          <w:sz w:val="20"/>
        </w:rPr>
        <w:t xml:space="preserve"> </w:t>
      </w:r>
      <w:r w:rsidRPr="006E7068">
        <w:rPr>
          <w:rFonts w:ascii="Arial" w:hAnsi="Arial" w:cs="Arial"/>
          <w:color w:val="010000"/>
          <w:sz w:val="20"/>
        </w:rPr>
        <w:t>VND 9,810,406,04</w:t>
      </w:r>
      <w:r w:rsidR="001C5FAE">
        <w:rPr>
          <w:rFonts w:ascii="Arial" w:hAnsi="Arial" w:cs="Arial"/>
          <w:color w:val="010000"/>
          <w:sz w:val="20"/>
        </w:rPr>
        <w:t>1</w:t>
      </w:r>
      <w:r w:rsidRPr="006E7068">
        <w:rPr>
          <w:rFonts w:ascii="Arial" w:hAnsi="Arial" w:cs="Arial"/>
          <w:color w:val="010000"/>
          <w:sz w:val="20"/>
        </w:rPr>
        <w:t xml:space="preserve"> and the company's General and administrative expenses were</w:t>
      </w:r>
      <w:r w:rsidR="007A1E8F" w:rsidRPr="006E7068">
        <w:rPr>
          <w:rFonts w:ascii="Arial" w:hAnsi="Arial" w:cs="Arial"/>
          <w:color w:val="010000"/>
          <w:sz w:val="20"/>
        </w:rPr>
        <w:t xml:space="preserve"> </w:t>
      </w:r>
      <w:r w:rsidRPr="006E7068">
        <w:rPr>
          <w:rFonts w:ascii="Arial" w:hAnsi="Arial" w:cs="Arial"/>
          <w:color w:val="010000"/>
          <w:sz w:val="20"/>
        </w:rPr>
        <w:t>VND 12,901,141,475. Additionally, other expenses amounted to VND 1,399,946,007.</w:t>
      </w:r>
    </w:p>
    <w:p w14:paraId="1871BBF2" w14:textId="7215F01E" w:rsidR="00C54186" w:rsidRPr="006E7068" w:rsidRDefault="006E7068" w:rsidP="008E5656">
      <w:pPr>
        <w:pBdr>
          <w:top w:val="nil"/>
          <w:left w:val="nil"/>
          <w:bottom w:val="nil"/>
          <w:right w:val="nil"/>
          <w:between w:val="nil"/>
        </w:pBdr>
        <w:tabs>
          <w:tab w:val="left" w:pos="450"/>
        </w:tabs>
        <w:spacing w:after="120" w:line="360" w:lineRule="auto"/>
        <w:jc w:val="both"/>
        <w:rPr>
          <w:rFonts w:ascii="Arial" w:hAnsi="Arial" w:cs="Arial"/>
          <w:color w:val="010000"/>
          <w:sz w:val="20"/>
        </w:rPr>
      </w:pPr>
      <w:r w:rsidRPr="006E7068">
        <w:rPr>
          <w:rFonts w:ascii="Arial" w:hAnsi="Arial" w:cs="Arial"/>
          <w:color w:val="010000"/>
          <w:sz w:val="20"/>
        </w:rPr>
        <w:t>Therefore, the insufficient revenue to cover expenses led to the profit after tax being a loss in 2023.</w:t>
      </w:r>
    </w:p>
    <w:p w14:paraId="4E89E0FD" w14:textId="532E5E9F" w:rsidR="006E7068" w:rsidRPr="006E7068" w:rsidRDefault="006E7068" w:rsidP="008E5656">
      <w:pPr>
        <w:pBdr>
          <w:top w:val="nil"/>
          <w:left w:val="nil"/>
          <w:bottom w:val="single" w:sz="6" w:space="1" w:color="auto"/>
          <w:right w:val="nil"/>
          <w:between w:val="nil"/>
        </w:pBdr>
        <w:tabs>
          <w:tab w:val="left" w:pos="450"/>
        </w:tabs>
        <w:spacing w:after="120" w:line="360" w:lineRule="auto"/>
        <w:jc w:val="both"/>
        <w:rPr>
          <w:rFonts w:ascii="Arial" w:hAnsi="Arial" w:cs="Arial"/>
          <w:color w:val="010000"/>
          <w:sz w:val="20"/>
        </w:rPr>
      </w:pPr>
    </w:p>
    <w:p w14:paraId="70CFFAA2" w14:textId="30212A32" w:rsidR="00C54186" w:rsidRPr="006E7068" w:rsidRDefault="006E7068" w:rsidP="008E565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On March 29, 2024, Viet Nam Construction Securities Joint Stock Company announced</w:t>
      </w:r>
      <w:r w:rsidR="007A1E8F" w:rsidRPr="006E7068">
        <w:rPr>
          <w:rFonts w:ascii="Arial" w:hAnsi="Arial" w:cs="Arial"/>
          <w:color w:val="010000"/>
          <w:sz w:val="20"/>
        </w:rPr>
        <w:t xml:space="preserve"> </w:t>
      </w:r>
      <w:r w:rsidRPr="006E7068">
        <w:rPr>
          <w:rFonts w:ascii="Arial" w:hAnsi="Arial" w:cs="Arial"/>
          <w:color w:val="010000"/>
          <w:sz w:val="20"/>
        </w:rPr>
        <w:t>Official Dispatch No. 25/2024/CSI/CV-TGD on explanation of the modified audit opinion on the Audited Financial Statements 2023 as follows:</w:t>
      </w:r>
    </w:p>
    <w:p w14:paraId="75CEFD2D" w14:textId="73210391" w:rsidR="00C54186" w:rsidRPr="006E7068" w:rsidRDefault="006E7068" w:rsidP="008E5656">
      <w:pPr>
        <w:numPr>
          <w:ilvl w:val="0"/>
          <w:numId w:val="3"/>
        </w:numPr>
        <w:pBdr>
          <w:top w:val="nil"/>
          <w:left w:val="nil"/>
          <w:bottom w:val="nil"/>
          <w:right w:val="nil"/>
          <w:between w:val="nil"/>
        </w:pBdr>
        <w:tabs>
          <w:tab w:val="left" w:pos="450"/>
          <w:tab w:val="left" w:pos="2098"/>
          <w:tab w:val="left" w:pos="11476"/>
        </w:tabs>
        <w:spacing w:after="120" w:line="360" w:lineRule="auto"/>
        <w:jc w:val="both"/>
        <w:rPr>
          <w:rFonts w:ascii="Arial" w:eastAsia="Arial" w:hAnsi="Arial" w:cs="Arial"/>
          <w:color w:val="010000"/>
          <w:sz w:val="20"/>
          <w:szCs w:val="20"/>
        </w:rPr>
      </w:pPr>
      <w:r w:rsidRPr="006E7068">
        <w:rPr>
          <w:rFonts w:ascii="Arial" w:hAnsi="Arial" w:cs="Arial"/>
          <w:color w:val="010000"/>
          <w:sz w:val="20"/>
        </w:rPr>
        <w:t>Auditor's qualified opinion: The average cash amount of approximately VND 127 billion is deposited by the Company into the bank account to sign fixed-term deposit contracts at the end of each quarter and is withdrawn from the bank account to replenish cash funds on the first days of the following quarters.</w:t>
      </w:r>
      <w:r w:rsidR="007A1E8F" w:rsidRPr="006E7068">
        <w:rPr>
          <w:rFonts w:ascii="Arial" w:hAnsi="Arial" w:cs="Arial"/>
          <w:color w:val="010000"/>
          <w:sz w:val="20"/>
        </w:rPr>
        <w:t xml:space="preserve"> </w:t>
      </w:r>
      <w:r w:rsidRPr="006E7068">
        <w:rPr>
          <w:rFonts w:ascii="Arial" w:hAnsi="Arial" w:cs="Arial"/>
          <w:color w:val="010000"/>
          <w:sz w:val="20"/>
        </w:rPr>
        <w:t>We have not received reasonable explanations regarding the maintenance of the cash balance as stated above.</w:t>
      </w:r>
      <w:r w:rsidR="007A1E8F" w:rsidRPr="006E7068">
        <w:rPr>
          <w:rFonts w:ascii="Arial" w:hAnsi="Arial" w:cs="Arial"/>
          <w:color w:val="010000"/>
          <w:sz w:val="20"/>
        </w:rPr>
        <w:t xml:space="preserve"> </w:t>
      </w:r>
      <w:r w:rsidRPr="006E7068">
        <w:rPr>
          <w:rFonts w:ascii="Arial" w:hAnsi="Arial" w:cs="Arial"/>
          <w:color w:val="010000"/>
          <w:sz w:val="20"/>
        </w:rPr>
        <w:t>Therefore, we are unable to assess the impact of this issue on the Company's Financial Statements 2023."</w:t>
      </w:r>
    </w:p>
    <w:p w14:paraId="20D3AFF2" w14:textId="75B360FD" w:rsidR="00C54186" w:rsidRPr="006E7068" w:rsidRDefault="006E7068" w:rsidP="008E5656">
      <w:pPr>
        <w:numPr>
          <w:ilvl w:val="0"/>
          <w:numId w:val="1"/>
        </w:num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E7068">
        <w:rPr>
          <w:rFonts w:ascii="Arial" w:hAnsi="Arial" w:cs="Arial"/>
          <w:color w:val="010000"/>
          <w:sz w:val="20"/>
        </w:rPr>
        <w:t xml:space="preserve">Explanation of the Company: In 2023, following certain business plans, the Company maintained an average cash balance of approximately VND 127 billion. The cash balance was also regularly deposited into the bank account as reported in each reporting period. On December 31, 2023, the Company also conducted a cash inventory with the presence of an independent auditor and obtained a bank confirmation letter as requested by the auditor. Therefore, the cash balance reported in the Company's Financial Statements 2023 is entirely accurate and reasonable. </w:t>
      </w:r>
      <w:r w:rsidR="00B26B73">
        <w:rPr>
          <w:rFonts w:ascii="Arial" w:hAnsi="Arial" w:cs="Arial"/>
          <w:color w:val="010000"/>
          <w:sz w:val="20"/>
        </w:rPr>
        <w:t>Maintaining</w:t>
      </w:r>
      <w:r w:rsidRPr="006E7068">
        <w:rPr>
          <w:rFonts w:ascii="Arial" w:hAnsi="Arial" w:cs="Arial"/>
          <w:color w:val="010000"/>
          <w:sz w:val="20"/>
        </w:rPr>
        <w:t xml:space="preserve"> a large cash reserve throughout the year may not have yielded high efficiency compared to depositing funds into bank savings accounts. However, due to certain company plans, the company accepted this inefficiency.</w:t>
      </w:r>
    </w:p>
    <w:p w14:paraId="74118F7B" w14:textId="19BED394" w:rsidR="00C54186" w:rsidRPr="006E7068" w:rsidRDefault="006E7068" w:rsidP="008E5656">
      <w:pPr>
        <w:numPr>
          <w:ilvl w:val="0"/>
          <w:numId w:val="3"/>
        </w:numPr>
        <w:pBdr>
          <w:top w:val="nil"/>
          <w:left w:val="nil"/>
          <w:bottom w:val="nil"/>
          <w:right w:val="nil"/>
          <w:between w:val="nil"/>
        </w:pBdr>
        <w:tabs>
          <w:tab w:val="left" w:pos="450"/>
          <w:tab w:val="left" w:pos="2131"/>
        </w:tabs>
        <w:spacing w:after="120" w:line="360" w:lineRule="auto"/>
        <w:jc w:val="both"/>
        <w:rPr>
          <w:rFonts w:ascii="Arial" w:eastAsia="Arial" w:hAnsi="Arial" w:cs="Arial"/>
          <w:color w:val="010000"/>
          <w:sz w:val="20"/>
          <w:szCs w:val="20"/>
        </w:rPr>
      </w:pPr>
      <w:r w:rsidRPr="006E7068">
        <w:rPr>
          <w:rFonts w:ascii="Arial" w:hAnsi="Arial" w:cs="Arial"/>
          <w:color w:val="010000"/>
          <w:sz w:val="20"/>
        </w:rPr>
        <w:t xml:space="preserve">Audit’s qualified opinion: "According to the Financial Statements 2023 of the entities in which the </w:t>
      </w:r>
      <w:r w:rsidRPr="006E7068">
        <w:rPr>
          <w:rFonts w:ascii="Arial" w:hAnsi="Arial" w:cs="Arial"/>
          <w:color w:val="010000"/>
          <w:sz w:val="20"/>
        </w:rPr>
        <w:lastRenderedPageBreak/>
        <w:t>Company invested in shares, including Viet Nam Galaxy International Investment Joint Stock Company with a capital contribution of VND 18,200,000,000, and Noah Technology Joint Stock Company with a capital contribution of VND 14,200,000,000, which are currently perfunctorily operating with other receivables being the main assets. Due to limitations in information, we are unable to assess the reasonable value of these investments, and therefore, we cannot evaluate their impact on the Company's Financial Statements 2023."</w:t>
      </w:r>
    </w:p>
    <w:p w14:paraId="60BA6734" w14:textId="61819C36" w:rsidR="00C54186" w:rsidRPr="006E7068" w:rsidRDefault="00B26B73" w:rsidP="008E5656">
      <w:pPr>
        <w:numPr>
          <w:ilvl w:val="0"/>
          <w:numId w:val="1"/>
        </w:numPr>
        <w:pBdr>
          <w:top w:val="nil"/>
          <w:left w:val="nil"/>
          <w:bottom w:val="nil"/>
          <w:right w:val="nil"/>
          <w:between w:val="nil"/>
        </w:pBdr>
        <w:tabs>
          <w:tab w:val="left" w:pos="450"/>
          <w:tab w:val="left" w:pos="2334"/>
        </w:tabs>
        <w:spacing w:after="120" w:line="360" w:lineRule="auto"/>
        <w:jc w:val="both"/>
        <w:rPr>
          <w:rFonts w:ascii="Arial" w:eastAsia="Arial" w:hAnsi="Arial" w:cs="Arial"/>
          <w:color w:val="010000"/>
          <w:sz w:val="20"/>
          <w:szCs w:val="20"/>
        </w:rPr>
      </w:pPr>
      <w:r>
        <w:rPr>
          <w:rFonts w:ascii="Arial" w:hAnsi="Arial" w:cs="Arial"/>
          <w:color w:val="010000"/>
          <w:sz w:val="20"/>
        </w:rPr>
        <w:t>The Company’s explanation: The C</w:t>
      </w:r>
      <w:r w:rsidR="006E7068" w:rsidRPr="006E7068">
        <w:rPr>
          <w:rFonts w:ascii="Arial" w:hAnsi="Arial" w:cs="Arial"/>
          <w:color w:val="010000"/>
          <w:sz w:val="20"/>
        </w:rPr>
        <w:t xml:space="preserve">ompany executed the investment by purchasing shares of Viet Nam Galaxy International Investment Joint Stock Company with a capital contribution of VND 18,200,000,000 and Noah Technology Joint Stock Company with a capital contribution of VND 14,200,000,000 </w:t>
      </w:r>
      <w:r w:rsidR="00A1447B">
        <w:rPr>
          <w:rFonts w:ascii="Arial" w:hAnsi="Arial" w:cs="Arial"/>
          <w:color w:val="010000"/>
          <w:sz w:val="20"/>
        </w:rPr>
        <w:t>following</w:t>
      </w:r>
      <w:r w:rsidR="006E7068" w:rsidRPr="006E7068">
        <w:rPr>
          <w:rFonts w:ascii="Arial" w:hAnsi="Arial" w:cs="Arial"/>
          <w:color w:val="010000"/>
          <w:sz w:val="20"/>
        </w:rPr>
        <w:t xml:space="preserve"> current regulations. Due to the economic difficulties in recent years, both companies are striving to maintain minimal operations while awaiting economic recovery. Currently, the shareholders of these two companies have some business plans that are expected to yield higher efficiency, hence their main assets are primarily in other receivable</w:t>
      </w:r>
      <w:bookmarkStart w:id="1" w:name="_GoBack"/>
      <w:bookmarkEnd w:id="1"/>
      <w:r w:rsidR="006E7068" w:rsidRPr="006E7068">
        <w:rPr>
          <w:rFonts w:ascii="Arial" w:hAnsi="Arial" w:cs="Arial"/>
          <w:color w:val="010000"/>
          <w:sz w:val="20"/>
        </w:rPr>
        <w:t>s. Viet Nam Galaxy International Investment Joint Stock Company and Noah Technology Joint Stock Company are not listed on the stock exchange and have not gone public, therefore, there is no basis for evaluating the reasonable value of these investments according to current regulations.</w:t>
      </w:r>
    </w:p>
    <w:sectPr w:rsidR="00C54186" w:rsidRPr="006E7068" w:rsidSect="007A1E8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2580"/>
    <w:multiLevelType w:val="multilevel"/>
    <w:tmpl w:val="8320D3D6"/>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A954C25"/>
    <w:multiLevelType w:val="multilevel"/>
    <w:tmpl w:val="FF4E0B2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9C1E1C"/>
    <w:multiLevelType w:val="multilevel"/>
    <w:tmpl w:val="AAA06A0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86"/>
    <w:rsid w:val="001B7419"/>
    <w:rsid w:val="001C5FAE"/>
    <w:rsid w:val="006E7068"/>
    <w:rsid w:val="007A1E8F"/>
    <w:rsid w:val="008E5656"/>
    <w:rsid w:val="00A1447B"/>
    <w:rsid w:val="00B26B73"/>
    <w:rsid w:val="00C541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4E9B3"/>
  <w15:docId w15:val="{078D788B-6F3D-432D-885C-3DB68B32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D222A"/>
      <w:sz w:val="12"/>
      <w:szCs w:val="1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FD222A"/>
      <w:sz w:val="9"/>
      <w:szCs w:val="9"/>
      <w:u w:val="none"/>
    </w:rPr>
  </w:style>
  <w:style w:type="paragraph" w:styleId="BodyText">
    <w:name w:val="Body Text"/>
    <w:basedOn w:val="Normal"/>
    <w:link w:val="BodyTextChar"/>
    <w:qFormat/>
    <w:pPr>
      <w:spacing w:line="276" w:lineRule="auto"/>
    </w:pPr>
    <w:rPr>
      <w:rFonts w:ascii="Times New Roman" w:eastAsia="Times New Roman" w:hAnsi="Times New Roman" w:cs="Times New Roman"/>
    </w:rPr>
  </w:style>
  <w:style w:type="paragraph" w:customStyle="1" w:styleId="Bodytext30">
    <w:name w:val="Body text (3)"/>
    <w:basedOn w:val="Normal"/>
    <w:link w:val="Bodytext3"/>
    <w:pPr>
      <w:spacing w:line="235" w:lineRule="auto"/>
    </w:pPr>
    <w:rPr>
      <w:rFonts w:ascii="Times New Roman" w:eastAsia="Times New Roman" w:hAnsi="Times New Roman" w:cs="Times New Roman"/>
      <w:color w:val="FD222A"/>
      <w:sz w:val="12"/>
      <w:szCs w:val="12"/>
    </w:rPr>
  </w:style>
  <w:style w:type="paragraph" w:customStyle="1" w:styleId="Bodytext20">
    <w:name w:val="Body text (2)"/>
    <w:basedOn w:val="Normal"/>
    <w:link w:val="Bodytext2"/>
    <w:pPr>
      <w:ind w:left="1390"/>
    </w:pPr>
    <w:rPr>
      <w:rFonts w:ascii="Times New Roman" w:eastAsia="Times New Roman" w:hAnsi="Times New Roman" w:cs="Times New Roman"/>
      <w:sz w:val="19"/>
      <w:szCs w:val="19"/>
    </w:rPr>
  </w:style>
  <w:style w:type="paragraph" w:customStyle="1" w:styleId="Other0">
    <w:name w:val="Other"/>
    <w:basedOn w:val="Normal"/>
    <w:link w:val="Other"/>
    <w:pPr>
      <w:spacing w:line="276" w:lineRule="auto"/>
    </w:pPr>
    <w:rPr>
      <w:rFonts w:ascii="Times New Roman" w:eastAsia="Times New Roman" w:hAnsi="Times New Roman" w:cs="Times New Roman"/>
    </w:rPr>
  </w:style>
  <w:style w:type="paragraph" w:customStyle="1" w:styleId="Bodytext40">
    <w:name w:val="Body text (4)"/>
    <w:basedOn w:val="Normal"/>
    <w:link w:val="Bodytext4"/>
    <w:rPr>
      <w:rFonts w:ascii="Arial" w:eastAsia="Arial" w:hAnsi="Arial" w:cs="Arial"/>
      <w:color w:val="FD222A"/>
      <w:sz w:val="9"/>
      <w:szCs w:val="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E5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tyCi2+vbJbSW9nwQVP4DA9tBQ==">CgMxLjAyCGguZ2pkZ3hzOAByITFjU05tS1BxOUpnWEU3RjNDMG4yOENkNWpQRVNNYmY0QQ==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864</Words>
  <Characters>5102</Characters>
  <Application>Microsoft Office Word</Application>
  <DocSecurity>0</DocSecurity>
  <Lines>135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2024-04-22T03:45:00Z</dcterms:created>
  <dcterms:modified xsi:type="dcterms:W3CDTF">2024-04-23T04:13:00Z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a544a6232202bce668606a162e322982ab89829dfab0bf896bec82f6d8eef682</vt:lpwstr>
  </property>
</Properties>
</file>