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076" w14:textId="77777777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62639">
        <w:rPr>
          <w:rFonts w:ascii="Arial" w:hAnsi="Arial" w:cs="Arial"/>
          <w:b/>
          <w:color w:val="010000"/>
          <w:sz w:val="20"/>
        </w:rPr>
        <w:t>DAC: Annual General Mandate 2024</w:t>
      </w:r>
    </w:p>
    <w:p w14:paraId="1967CAE3" w14:textId="77777777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On April 16, 2024, 382 Dong Anh JSC announced General Mandate No. 09/2024/NQ-DHDCD/DAC as follows:</w:t>
      </w:r>
    </w:p>
    <w:p w14:paraId="3DDF2CE6" w14:textId="63A7A6FD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Article 1: Agree to approve the following contents:</w:t>
      </w:r>
    </w:p>
    <w:p w14:paraId="35CA4381" w14:textId="77777777" w:rsidR="000234E9" w:rsidRPr="00C62639" w:rsidRDefault="00C62639" w:rsidP="00C626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The report on production and business results 2023 has been audited by AASC Auditing Firm Company Limited as follows: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446"/>
        <w:gridCol w:w="3241"/>
        <w:gridCol w:w="1259"/>
        <w:gridCol w:w="900"/>
        <w:gridCol w:w="1078"/>
        <w:gridCol w:w="2092"/>
      </w:tblGrid>
      <w:tr w:rsidR="000234E9" w:rsidRPr="00C62639" w14:paraId="063C92B9" w14:textId="77777777" w:rsidTr="00021EF4"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8C7E70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DB489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7D4BC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D21472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6747DC" w14:textId="02A857CE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Re</w:t>
            </w:r>
            <w:bookmarkStart w:id="0" w:name="_GoBack"/>
            <w:bookmarkEnd w:id="0"/>
            <w:r w:rsidRPr="00C62639">
              <w:rPr>
                <w:rFonts w:ascii="Arial" w:hAnsi="Arial" w:cs="Arial"/>
                <w:color w:val="010000"/>
                <w:sz w:val="20"/>
              </w:rPr>
              <w:t>sults /Plan rate (%)</w:t>
            </w:r>
          </w:p>
        </w:tc>
      </w:tr>
      <w:tr w:rsidR="00C62639" w:rsidRPr="00C62639" w14:paraId="51DB1C99" w14:textId="77777777" w:rsidTr="00021EF4">
        <w:trPr>
          <w:trHeight w:val="287"/>
        </w:trPr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D587D7" w14:textId="77777777" w:rsidR="000234E9" w:rsidRPr="00C62639" w:rsidRDefault="000234E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C92BA2" w14:textId="77777777" w:rsidR="000234E9" w:rsidRPr="00C62639" w:rsidRDefault="000234E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9BA83C" w14:textId="77777777" w:rsidR="000234E9" w:rsidRPr="00C62639" w:rsidRDefault="000234E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920373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9B4425" w14:textId="1E368EF6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Results</w:t>
            </w: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21276" w14:textId="77777777" w:rsidR="000234E9" w:rsidRPr="00C62639" w:rsidRDefault="000234E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62639" w:rsidRPr="00C62639" w14:paraId="32587B42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E4EA6E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02576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E0C5C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10C461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-9,439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4A8998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-2,029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8D4337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21.49%</w:t>
            </w:r>
          </w:p>
        </w:tc>
      </w:tr>
      <w:tr w:rsidR="00C62639" w:rsidRPr="00C62639" w14:paraId="0326D448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7D6A7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6B439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0D775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A8ED8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44,155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ADE7A2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36,463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9BE82E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82.58%</w:t>
            </w:r>
          </w:p>
        </w:tc>
      </w:tr>
      <w:tr w:rsidR="00C62639" w:rsidRPr="00C62639" w14:paraId="1E83C509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AA6EA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645A43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Basic depreciation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E7927C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EBA2C4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1,350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D045F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1,350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1A06C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C62639" w:rsidRPr="00C62639" w14:paraId="508005E8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2AA696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45AACC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Inventory value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B639E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D98041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6,482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1A3653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5,818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A2D988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89.76%</w:t>
            </w:r>
          </w:p>
        </w:tc>
      </w:tr>
      <w:tr w:rsidR="00C62639" w:rsidRPr="00C62639" w14:paraId="401A5CAB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6F6467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6BBC6C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Outstanding balance receivable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2888DA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16D25C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4,208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90F1F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5,282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A00CD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125.52%</w:t>
            </w:r>
          </w:p>
        </w:tc>
      </w:tr>
      <w:tr w:rsidR="00C62639" w:rsidRPr="00C62639" w14:paraId="47505F28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61D28E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D76189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C59756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VND 1,000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4BC4E4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8,369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CD220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7,481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9FB0D9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89.39%</w:t>
            </w:r>
          </w:p>
        </w:tc>
      </w:tr>
      <w:tr w:rsidR="00C62639" w:rsidRPr="00C62639" w14:paraId="6933782B" w14:textId="77777777" w:rsidTr="00021EF4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5F51B4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CE4DDD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Repairing machines and equipment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8E11A5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47B23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787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850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8DE36B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5A531F" w14:textId="77777777" w:rsidR="000234E9" w:rsidRPr="00C62639" w:rsidRDefault="00C62639" w:rsidP="00C6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62639">
              <w:rPr>
                <w:rFonts w:ascii="Arial" w:hAnsi="Arial" w:cs="Arial"/>
                <w:color w:val="010000"/>
                <w:sz w:val="20"/>
              </w:rPr>
              <w:t>0.00%</w:t>
            </w:r>
          </w:p>
        </w:tc>
      </w:tr>
    </w:tbl>
    <w:p w14:paraId="7695F464" w14:textId="77777777" w:rsidR="000234E9" w:rsidRPr="00C62639" w:rsidRDefault="00C62639" w:rsidP="00C62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Production and business plan for 2024</w:t>
      </w:r>
    </w:p>
    <w:p w14:paraId="71CD9A4F" w14:textId="77777777" w:rsidR="000234E9" w:rsidRPr="00C62639" w:rsidRDefault="00C62639" w:rsidP="00C626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Major production and business targets in 2024:</w:t>
      </w:r>
    </w:p>
    <w:p w14:paraId="77A5BDCF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Profit before tax: VND -8,050 million</w:t>
      </w:r>
    </w:p>
    <w:p w14:paraId="2C6FAACE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Revenue: VND 35,754 million</w:t>
      </w:r>
    </w:p>
    <w:p w14:paraId="52F87D5F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Capital depreciation: VND 1,350 million</w:t>
      </w:r>
    </w:p>
    <w:p w14:paraId="21EE8BDE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Finished goods inventory: VND 5,471 million</w:t>
      </w:r>
    </w:p>
    <w:p w14:paraId="57787BC5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Outstanding balance receivable: VND 6,150 million</w:t>
      </w:r>
    </w:p>
    <w:p w14:paraId="44311047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8"/>
          <w:tab w:val="left" w:pos="4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Average income VND 7,388,000/person/month</w:t>
      </w:r>
    </w:p>
    <w:p w14:paraId="294A5A39" w14:textId="77777777" w:rsidR="000234E9" w:rsidRPr="00C62639" w:rsidRDefault="00C62639" w:rsidP="00C626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Capital construction investment plan in 2024: non-investment</w:t>
      </w:r>
    </w:p>
    <w:p w14:paraId="2473FBCC" w14:textId="77777777" w:rsidR="000234E9" w:rsidRPr="00C62639" w:rsidRDefault="00C62639" w:rsidP="00C62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The remuneration of the Board of Directors, the Supervisory Board, and the Company’s Secretary in 2023:</w:t>
      </w:r>
    </w:p>
    <w:p w14:paraId="108F98B4" w14:textId="77777777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none due to the Company's accumulated losses.</w:t>
      </w:r>
    </w:p>
    <w:p w14:paraId="6FE1F1D4" w14:textId="77777777" w:rsidR="000234E9" w:rsidRPr="00C62639" w:rsidRDefault="00C62639" w:rsidP="00C62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The remuneration of the Board of Directors, the Supervisory Board and Company's Secretary in 2024:</w:t>
      </w:r>
    </w:p>
    <w:p w14:paraId="4A0733F2" w14:textId="77777777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 xml:space="preserve">According to Decision No. 218/TCT-HDQT dated July 20, 2021, regarding the issuance of Regulations on the Representative of </w:t>
      </w:r>
      <w:proofErr w:type="spellStart"/>
      <w:r w:rsidRPr="00C62639">
        <w:rPr>
          <w:rFonts w:ascii="Arial" w:hAnsi="Arial" w:cs="Arial"/>
          <w:color w:val="010000"/>
          <w:sz w:val="20"/>
        </w:rPr>
        <w:t>Vigalcera</w:t>
      </w:r>
      <w:proofErr w:type="spellEnd"/>
      <w:r w:rsidRPr="00C62639">
        <w:rPr>
          <w:rFonts w:ascii="Arial" w:hAnsi="Arial" w:cs="Arial"/>
          <w:color w:val="010000"/>
          <w:sz w:val="20"/>
        </w:rPr>
        <w:t xml:space="preserve"> Corporation - JSC in other enterprises.</w:t>
      </w:r>
    </w:p>
    <w:p w14:paraId="1160B457" w14:textId="4F3CA0BB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lastRenderedPageBreak/>
        <w:t xml:space="preserve">Based on production and business results 2024, the remuneration of the Board of Directors, the Supervisory Board, and the Company’s Secretary will be presented to the Annual </w:t>
      </w:r>
      <w:r>
        <w:rPr>
          <w:rFonts w:ascii="Arial" w:hAnsi="Arial" w:cs="Arial"/>
          <w:color w:val="010000"/>
          <w:sz w:val="20"/>
        </w:rPr>
        <w:t>General Meeting of Shareholders</w:t>
      </w:r>
      <w:r w:rsidRPr="00C62639">
        <w:rPr>
          <w:rFonts w:ascii="Arial" w:hAnsi="Arial" w:cs="Arial"/>
          <w:color w:val="010000"/>
          <w:sz w:val="20"/>
        </w:rPr>
        <w:t xml:space="preserve"> 2025.</w:t>
      </w:r>
    </w:p>
    <w:p w14:paraId="45F336E3" w14:textId="77777777" w:rsidR="000234E9" w:rsidRPr="00C62639" w:rsidRDefault="00C62639" w:rsidP="00C62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On the selection of the audit company for fiscal year 2024:</w:t>
      </w:r>
    </w:p>
    <w:p w14:paraId="1E8D6EAB" w14:textId="6C3AE14E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 xml:space="preserve">The </w:t>
      </w:r>
      <w:r>
        <w:rPr>
          <w:rFonts w:ascii="Arial" w:hAnsi="Arial" w:cs="Arial"/>
          <w:color w:val="010000"/>
          <w:sz w:val="20"/>
        </w:rPr>
        <w:t>General Meeting of Shareholders</w:t>
      </w:r>
      <w:r w:rsidRPr="00C62639">
        <w:rPr>
          <w:rFonts w:ascii="Arial" w:hAnsi="Arial" w:cs="Arial"/>
          <w:color w:val="010000"/>
          <w:sz w:val="20"/>
        </w:rPr>
        <w:t xml:space="preserve"> approved the selection of AASC Auditing Firm Company Limited as the </w:t>
      </w:r>
      <w:r>
        <w:rPr>
          <w:rFonts w:ascii="Arial" w:hAnsi="Arial" w:cs="Arial"/>
          <w:color w:val="010000"/>
          <w:sz w:val="20"/>
        </w:rPr>
        <w:t>audit company</w:t>
      </w:r>
      <w:r w:rsidRPr="00C62639">
        <w:rPr>
          <w:rFonts w:ascii="Arial" w:hAnsi="Arial" w:cs="Arial"/>
          <w:color w:val="010000"/>
          <w:sz w:val="20"/>
        </w:rPr>
        <w:t xml:space="preserve"> to audit the </w:t>
      </w:r>
      <w:r>
        <w:rPr>
          <w:rFonts w:ascii="Arial" w:hAnsi="Arial" w:cs="Arial"/>
          <w:color w:val="010000"/>
          <w:sz w:val="20"/>
        </w:rPr>
        <w:t>Financial Statements</w:t>
      </w:r>
      <w:r w:rsidRPr="00C62639">
        <w:rPr>
          <w:rFonts w:ascii="Arial" w:hAnsi="Arial" w:cs="Arial"/>
          <w:color w:val="010000"/>
          <w:sz w:val="20"/>
        </w:rPr>
        <w:t xml:space="preserve"> 2024 (including the review of the semi-annual </w:t>
      </w:r>
      <w:r>
        <w:rPr>
          <w:rFonts w:ascii="Arial" w:hAnsi="Arial" w:cs="Arial"/>
          <w:color w:val="010000"/>
          <w:sz w:val="20"/>
        </w:rPr>
        <w:t>Financial Statements</w:t>
      </w:r>
      <w:r w:rsidRPr="00C62639">
        <w:rPr>
          <w:rFonts w:ascii="Arial" w:hAnsi="Arial" w:cs="Arial"/>
          <w:color w:val="010000"/>
          <w:sz w:val="20"/>
        </w:rPr>
        <w:t>) for the Company.</w:t>
      </w:r>
    </w:p>
    <w:p w14:paraId="32DB658C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Authorize the Company Manager to negotiate and sign contracts in accordance with the current legal regulations.</w:t>
      </w:r>
    </w:p>
    <w:p w14:paraId="25D37404" w14:textId="6A276BC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 xml:space="preserve">In case it is necessary to replace the audit company, the Annual </w:t>
      </w:r>
      <w:r>
        <w:rPr>
          <w:rFonts w:ascii="Arial" w:hAnsi="Arial" w:cs="Arial"/>
          <w:color w:val="010000"/>
          <w:sz w:val="20"/>
        </w:rPr>
        <w:t>General Meeting of Shareholders</w:t>
      </w:r>
      <w:r w:rsidRPr="00C62639">
        <w:rPr>
          <w:rFonts w:ascii="Arial" w:hAnsi="Arial" w:cs="Arial"/>
          <w:color w:val="010000"/>
          <w:sz w:val="20"/>
        </w:rPr>
        <w:t xml:space="preserve"> authorizes to the Board of Directors to select the replacement audit company (from one of the firms listed in the list of independent audit </w:t>
      </w:r>
      <w:r>
        <w:rPr>
          <w:rFonts w:ascii="Arial" w:hAnsi="Arial" w:cs="Arial"/>
          <w:color w:val="010000"/>
          <w:sz w:val="20"/>
        </w:rPr>
        <w:t>companies</w:t>
      </w:r>
      <w:r w:rsidRPr="00C62639">
        <w:rPr>
          <w:rFonts w:ascii="Arial" w:hAnsi="Arial" w:cs="Arial"/>
          <w:color w:val="010000"/>
          <w:sz w:val="20"/>
        </w:rPr>
        <w:t xml:space="preserve"> approved by the State Securities Commission of Vietnam for auditing listed companies).</w:t>
      </w:r>
    </w:p>
    <w:p w14:paraId="3C169438" w14:textId="77777777" w:rsidR="000234E9" w:rsidRPr="00C62639" w:rsidRDefault="00C62639" w:rsidP="00C6263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Article 2: Terms of enforcement</w:t>
      </w:r>
    </w:p>
    <w:p w14:paraId="49410F38" w14:textId="77777777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>Annual General Mandate 2024 of 382 Dong Anh JSC takes effect from April 16, 2024.</w:t>
      </w:r>
    </w:p>
    <w:p w14:paraId="5FF1C03E" w14:textId="248B765F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 xml:space="preserve">The </w:t>
      </w:r>
      <w:r>
        <w:rPr>
          <w:rFonts w:ascii="Arial" w:hAnsi="Arial" w:cs="Arial"/>
          <w:color w:val="010000"/>
          <w:sz w:val="20"/>
        </w:rPr>
        <w:t>General Meeting of Shareholders</w:t>
      </w:r>
      <w:r w:rsidRPr="00C62639">
        <w:rPr>
          <w:rFonts w:ascii="Arial" w:hAnsi="Arial" w:cs="Arial"/>
          <w:color w:val="010000"/>
          <w:sz w:val="20"/>
        </w:rPr>
        <w:t xml:space="preserve"> authorized the Board of Directors </w:t>
      </w:r>
      <w:proofErr w:type="spellStart"/>
      <w:r w:rsidRPr="00C62639">
        <w:rPr>
          <w:rFonts w:ascii="Arial" w:hAnsi="Arial" w:cs="Arial"/>
          <w:color w:val="010000"/>
          <w:sz w:val="20"/>
        </w:rPr>
        <w:t>adn</w:t>
      </w:r>
      <w:proofErr w:type="spellEnd"/>
      <w:r w:rsidRPr="00C62639">
        <w:rPr>
          <w:rFonts w:ascii="Arial" w:hAnsi="Arial" w:cs="Arial"/>
          <w:color w:val="010000"/>
          <w:sz w:val="20"/>
        </w:rPr>
        <w:t xml:space="preserve"> the </w:t>
      </w:r>
      <w:proofErr w:type="spellStart"/>
      <w:r w:rsidRPr="00C62639">
        <w:rPr>
          <w:rFonts w:ascii="Arial" w:hAnsi="Arial" w:cs="Arial"/>
          <w:color w:val="010000"/>
          <w:sz w:val="20"/>
        </w:rPr>
        <w:t>the</w:t>
      </w:r>
      <w:proofErr w:type="spellEnd"/>
      <w:r w:rsidRPr="00C62639">
        <w:rPr>
          <w:rFonts w:ascii="Arial" w:hAnsi="Arial" w:cs="Arial"/>
          <w:color w:val="010000"/>
          <w:sz w:val="20"/>
        </w:rPr>
        <w:t xml:space="preserve"> Executive Board to implement the contents stated in Article 1 of the General Mandate in accordance with the Company's Charter and current law.</w:t>
      </w:r>
    </w:p>
    <w:p w14:paraId="5868EFC0" w14:textId="29E73CF9" w:rsidR="000234E9" w:rsidRPr="00C62639" w:rsidRDefault="00C62639" w:rsidP="00C62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2639">
        <w:rPr>
          <w:rFonts w:ascii="Arial" w:hAnsi="Arial" w:cs="Arial"/>
          <w:color w:val="010000"/>
          <w:sz w:val="20"/>
        </w:rPr>
        <w:t xml:space="preserve">This General Mandate was approved by the Annual </w:t>
      </w:r>
      <w:r>
        <w:rPr>
          <w:rFonts w:ascii="Arial" w:hAnsi="Arial" w:cs="Arial"/>
          <w:color w:val="010000"/>
          <w:sz w:val="20"/>
        </w:rPr>
        <w:t>General Meeting of Shareholders</w:t>
      </w:r>
      <w:r w:rsidRPr="00C62639">
        <w:rPr>
          <w:rFonts w:ascii="Arial" w:hAnsi="Arial" w:cs="Arial"/>
          <w:color w:val="010000"/>
          <w:sz w:val="20"/>
        </w:rPr>
        <w:t xml:space="preserve"> 2024 of 382 Dong Anh JSC at the General Meeting.</w:t>
      </w:r>
    </w:p>
    <w:sectPr w:rsidR="000234E9" w:rsidRPr="00C62639" w:rsidSect="00C62639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8B9"/>
    <w:multiLevelType w:val="multilevel"/>
    <w:tmpl w:val="C94888DA"/>
    <w:lvl w:ilvl="0">
      <w:start w:val="1"/>
      <w:numFmt w:val="decimal"/>
      <w:lvlText w:val="%1."/>
      <w:lvlJc w:val="left"/>
      <w:pPr>
        <w:ind w:left="739" w:hanging="359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59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79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40DB4D99"/>
    <w:multiLevelType w:val="multilevel"/>
    <w:tmpl w:val="6986A2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4246BF"/>
    <w:multiLevelType w:val="multilevel"/>
    <w:tmpl w:val="89A859B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E9"/>
    <w:rsid w:val="00021EF4"/>
    <w:rsid w:val="000234E9"/>
    <w:rsid w:val="00C6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A56E6"/>
  <w15:docId w15:val="{0CF93338-66F7-4E48-BB8B-FB8CF3B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156"/>
      <w:sz w:val="30"/>
      <w:szCs w:val="30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156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156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185" w:lineRule="auto"/>
    </w:pPr>
    <w:rPr>
      <w:rFonts w:ascii="Arial" w:eastAsia="Arial" w:hAnsi="Arial" w:cs="Arial"/>
      <w:sz w:val="8"/>
      <w:szCs w:val="8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color w:val="565156"/>
      <w:sz w:val="30"/>
      <w:szCs w:val="30"/>
    </w:rPr>
  </w:style>
  <w:style w:type="paragraph" w:customStyle="1" w:styleId="Tableofcontents0">
    <w:name w:val="Table of contents"/>
    <w:basedOn w:val="Normal"/>
    <w:link w:val="Tableofcontents"/>
    <w:pPr>
      <w:spacing w:line="266" w:lineRule="auto"/>
      <w:ind w:left="200" w:firstLine="620"/>
    </w:pPr>
    <w:rPr>
      <w:rFonts w:ascii="Times New Roman" w:eastAsia="Times New Roman" w:hAnsi="Times New Roman" w:cs="Times New Roman"/>
      <w:color w:val="565156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pacing w:line="276" w:lineRule="auto"/>
    </w:pPr>
    <w:rPr>
      <w:rFonts w:ascii="Times New Roman" w:eastAsia="Times New Roman" w:hAnsi="Times New Roman" w:cs="Times New Roman"/>
      <w:color w:val="565156"/>
      <w:sz w:val="22"/>
      <w:szCs w:val="22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eXdTpxlMGohR0u22Qqf/ZtATw==">CgMxLjA4AHIhMWlON1JlZHZ5V3lJajFKV1lKd0VOWW9HNWR5SDJSUldK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4</cp:revision>
  <dcterms:created xsi:type="dcterms:W3CDTF">2024-04-19T04:24:00Z</dcterms:created>
  <dcterms:modified xsi:type="dcterms:W3CDTF">2024-04-23T09:26:00Z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8a06d9f4ece6c8c00c0777fcb910357fec1d5ea15018c4f635f7ededbe56ea27</vt:lpwstr>
  </property>
</Properties>
</file>