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70DD0" w:rsidRPr="00F55B96" w:rsidRDefault="00F55B96" w:rsidP="00A1418F">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F55B96">
        <w:rPr>
          <w:rFonts w:ascii="Arial" w:hAnsi="Arial" w:cs="Arial"/>
          <w:b/>
          <w:color w:val="010000"/>
          <w:sz w:val="20"/>
        </w:rPr>
        <w:t>FBC: Board Resolution</w:t>
      </w:r>
    </w:p>
    <w:p w14:paraId="00000002" w14:textId="45883484" w:rsidR="00E70DD0" w:rsidRPr="00F55B96" w:rsidRDefault="00F55B96" w:rsidP="00A1418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F55B96">
        <w:rPr>
          <w:rFonts w:ascii="Arial" w:hAnsi="Arial" w:cs="Arial"/>
          <w:color w:val="010000"/>
          <w:sz w:val="20"/>
        </w:rPr>
        <w:t>On April 17, 2024, Pho Yen Mechanical Joint Stock Company announced Resolution No. 12/NQ-HDQT on organizing the Annual General Meeting of Shareholders 2024 as follows:</w:t>
      </w:r>
    </w:p>
    <w:p w14:paraId="00000003" w14:textId="77777777" w:rsidR="00E70DD0" w:rsidRPr="00F55B96" w:rsidRDefault="00F55B96" w:rsidP="00A1418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F55B96">
        <w:rPr>
          <w:rFonts w:ascii="Arial" w:hAnsi="Arial" w:cs="Arial"/>
          <w:color w:val="010000"/>
          <w:sz w:val="20"/>
        </w:rPr>
        <w:t>Article 1.</w:t>
      </w:r>
      <w:proofErr w:type="gramEnd"/>
      <w:r w:rsidRPr="00F55B96">
        <w:rPr>
          <w:rFonts w:ascii="Arial" w:hAnsi="Arial" w:cs="Arial"/>
          <w:color w:val="010000"/>
          <w:sz w:val="20"/>
        </w:rPr>
        <w:t xml:space="preserve"> Approve the organization of the Annual General Meeting of Shareholders 2024 of Pho Yen Mechanical Joint Stock Company as follows:</w:t>
      </w:r>
    </w:p>
    <w:p w14:paraId="00000004" w14:textId="77777777" w:rsidR="00E70DD0" w:rsidRPr="00F55B96" w:rsidRDefault="00F55B96" w:rsidP="00A1418F">
      <w:pPr>
        <w:numPr>
          <w:ilvl w:val="0"/>
          <w:numId w:val="4"/>
        </w:numPr>
        <w:pBdr>
          <w:top w:val="nil"/>
          <w:left w:val="nil"/>
          <w:bottom w:val="nil"/>
          <w:right w:val="nil"/>
          <w:between w:val="nil"/>
        </w:pBdr>
        <w:tabs>
          <w:tab w:val="left" w:pos="450"/>
          <w:tab w:val="left" w:pos="1538"/>
        </w:tabs>
        <w:spacing w:after="120" w:line="360" w:lineRule="auto"/>
        <w:jc w:val="both"/>
        <w:rPr>
          <w:rFonts w:ascii="Arial" w:eastAsia="Arial" w:hAnsi="Arial" w:cs="Arial"/>
          <w:color w:val="010000"/>
          <w:sz w:val="20"/>
          <w:szCs w:val="20"/>
        </w:rPr>
      </w:pPr>
      <w:r w:rsidRPr="00F55B96">
        <w:rPr>
          <w:rFonts w:ascii="Arial" w:hAnsi="Arial" w:cs="Arial"/>
          <w:color w:val="010000"/>
          <w:sz w:val="20"/>
        </w:rPr>
        <w:t>Record date to exercise the rights to attend the Annual General Meeting of Shareholders 2024: May 13, 2024</w:t>
      </w:r>
    </w:p>
    <w:p w14:paraId="00000005" w14:textId="77777777" w:rsidR="00E70DD0" w:rsidRPr="00F55B96" w:rsidRDefault="00F55B96" w:rsidP="00A1418F">
      <w:pPr>
        <w:numPr>
          <w:ilvl w:val="0"/>
          <w:numId w:val="4"/>
        </w:numPr>
        <w:pBdr>
          <w:top w:val="nil"/>
          <w:left w:val="nil"/>
          <w:bottom w:val="nil"/>
          <w:right w:val="nil"/>
          <w:between w:val="nil"/>
        </w:pBdr>
        <w:tabs>
          <w:tab w:val="left" w:pos="450"/>
          <w:tab w:val="left" w:pos="1922"/>
        </w:tabs>
        <w:spacing w:after="120" w:line="360" w:lineRule="auto"/>
        <w:jc w:val="both"/>
        <w:rPr>
          <w:rFonts w:ascii="Arial" w:eastAsia="Arial" w:hAnsi="Arial" w:cs="Arial"/>
          <w:color w:val="010000"/>
          <w:sz w:val="20"/>
          <w:szCs w:val="20"/>
        </w:rPr>
      </w:pPr>
      <w:r w:rsidRPr="00F55B96">
        <w:rPr>
          <w:rFonts w:ascii="Arial" w:hAnsi="Arial" w:cs="Arial"/>
          <w:color w:val="010000"/>
          <w:sz w:val="20"/>
        </w:rPr>
        <w:t>Expected time and venue:</w:t>
      </w:r>
    </w:p>
    <w:p w14:paraId="00000006" w14:textId="77777777" w:rsidR="00E70DD0" w:rsidRPr="00F55B96" w:rsidRDefault="00F55B96" w:rsidP="00A1418F">
      <w:pPr>
        <w:numPr>
          <w:ilvl w:val="0"/>
          <w:numId w:val="1"/>
        </w:numPr>
        <w:pBdr>
          <w:top w:val="nil"/>
          <w:left w:val="nil"/>
          <w:bottom w:val="nil"/>
          <w:right w:val="nil"/>
          <w:between w:val="nil"/>
        </w:pBdr>
        <w:tabs>
          <w:tab w:val="left" w:pos="450"/>
          <w:tab w:val="left" w:pos="1571"/>
        </w:tabs>
        <w:spacing w:after="120" w:line="360" w:lineRule="auto"/>
        <w:jc w:val="both"/>
        <w:rPr>
          <w:rFonts w:ascii="Arial" w:eastAsia="Arial" w:hAnsi="Arial" w:cs="Arial"/>
          <w:color w:val="010000"/>
          <w:sz w:val="20"/>
          <w:szCs w:val="20"/>
        </w:rPr>
      </w:pPr>
      <w:r w:rsidRPr="00F55B96">
        <w:rPr>
          <w:rFonts w:ascii="Arial" w:hAnsi="Arial" w:cs="Arial"/>
          <w:color w:val="010000"/>
          <w:sz w:val="20"/>
        </w:rPr>
        <w:t>Time: June 11, 2024</w:t>
      </w:r>
    </w:p>
    <w:p w14:paraId="00000007" w14:textId="77777777" w:rsidR="00E70DD0" w:rsidRPr="00F55B96" w:rsidRDefault="00F55B96" w:rsidP="00A1418F">
      <w:pPr>
        <w:numPr>
          <w:ilvl w:val="0"/>
          <w:numId w:val="1"/>
        </w:numPr>
        <w:pBdr>
          <w:top w:val="nil"/>
          <w:left w:val="nil"/>
          <w:bottom w:val="nil"/>
          <w:right w:val="nil"/>
          <w:between w:val="nil"/>
        </w:pBdr>
        <w:tabs>
          <w:tab w:val="left" w:pos="450"/>
          <w:tab w:val="left" w:pos="1577"/>
        </w:tabs>
        <w:spacing w:after="120" w:line="360" w:lineRule="auto"/>
        <w:jc w:val="both"/>
        <w:rPr>
          <w:rFonts w:ascii="Arial" w:eastAsia="Arial" w:hAnsi="Arial" w:cs="Arial"/>
          <w:color w:val="010000"/>
          <w:sz w:val="20"/>
          <w:szCs w:val="20"/>
        </w:rPr>
      </w:pPr>
      <w:r w:rsidRPr="00F55B96">
        <w:rPr>
          <w:rFonts w:ascii="Arial" w:hAnsi="Arial" w:cs="Arial"/>
          <w:color w:val="010000"/>
          <w:sz w:val="20"/>
        </w:rPr>
        <w:t xml:space="preserve">Venue: Head office of Pho Yen Mechanical Joint Stock Company, Bong Hong Residential Group, </w:t>
      </w:r>
      <w:proofErr w:type="spellStart"/>
      <w:r w:rsidRPr="00F55B96">
        <w:rPr>
          <w:rFonts w:ascii="Arial" w:hAnsi="Arial" w:cs="Arial"/>
          <w:color w:val="010000"/>
          <w:sz w:val="20"/>
        </w:rPr>
        <w:t>Bai</w:t>
      </w:r>
      <w:proofErr w:type="spellEnd"/>
      <w:r w:rsidRPr="00F55B96">
        <w:rPr>
          <w:rFonts w:ascii="Arial" w:hAnsi="Arial" w:cs="Arial"/>
          <w:color w:val="010000"/>
          <w:sz w:val="20"/>
        </w:rPr>
        <w:t xml:space="preserve"> Bong Ward, Pho Yen Town, Thai Nguyen Province.</w:t>
      </w:r>
    </w:p>
    <w:p w14:paraId="00000008" w14:textId="77777777" w:rsidR="00E70DD0" w:rsidRPr="00F55B96" w:rsidRDefault="00F55B96" w:rsidP="00A1418F">
      <w:pPr>
        <w:numPr>
          <w:ilvl w:val="0"/>
          <w:numId w:val="4"/>
        </w:numPr>
        <w:pBdr>
          <w:top w:val="nil"/>
          <w:left w:val="nil"/>
          <w:bottom w:val="nil"/>
          <w:right w:val="nil"/>
          <w:between w:val="nil"/>
        </w:pBdr>
        <w:tabs>
          <w:tab w:val="left" w:pos="450"/>
          <w:tab w:val="left" w:pos="1922"/>
        </w:tabs>
        <w:spacing w:after="120" w:line="360" w:lineRule="auto"/>
        <w:jc w:val="both"/>
        <w:rPr>
          <w:rFonts w:ascii="Arial" w:eastAsia="Arial" w:hAnsi="Arial" w:cs="Arial"/>
          <w:color w:val="010000"/>
          <w:sz w:val="20"/>
          <w:szCs w:val="20"/>
        </w:rPr>
      </w:pPr>
      <w:r w:rsidRPr="00F55B96">
        <w:rPr>
          <w:rFonts w:ascii="Arial" w:hAnsi="Arial" w:cs="Arial"/>
          <w:color w:val="010000"/>
          <w:sz w:val="20"/>
        </w:rPr>
        <w:t>Expected contents to be submitted to the Annual Gen</w:t>
      </w:r>
      <w:bookmarkStart w:id="0" w:name="_GoBack"/>
      <w:bookmarkEnd w:id="0"/>
      <w:r w:rsidRPr="00F55B96">
        <w:rPr>
          <w:rFonts w:ascii="Arial" w:hAnsi="Arial" w:cs="Arial"/>
          <w:color w:val="010000"/>
          <w:sz w:val="20"/>
        </w:rPr>
        <w:t>eral Meeting of Shareholders 2023:</w:t>
      </w:r>
    </w:p>
    <w:p w14:paraId="00000009" w14:textId="77777777" w:rsidR="00E70DD0" w:rsidRPr="00F55B96" w:rsidRDefault="00F55B96" w:rsidP="00A1418F">
      <w:pPr>
        <w:numPr>
          <w:ilvl w:val="0"/>
          <w:numId w:val="2"/>
        </w:numPr>
        <w:pBdr>
          <w:top w:val="nil"/>
          <w:left w:val="nil"/>
          <w:bottom w:val="nil"/>
          <w:right w:val="nil"/>
          <w:between w:val="nil"/>
        </w:pBdr>
        <w:tabs>
          <w:tab w:val="left" w:pos="450"/>
          <w:tab w:val="left" w:pos="1556"/>
        </w:tabs>
        <w:spacing w:after="120" w:line="360" w:lineRule="auto"/>
        <w:jc w:val="both"/>
        <w:rPr>
          <w:rFonts w:ascii="Arial" w:eastAsia="Arial" w:hAnsi="Arial" w:cs="Arial"/>
          <w:color w:val="010000"/>
          <w:sz w:val="20"/>
          <w:szCs w:val="20"/>
        </w:rPr>
      </w:pPr>
      <w:r w:rsidRPr="00F55B96">
        <w:rPr>
          <w:rFonts w:ascii="Arial" w:hAnsi="Arial" w:cs="Arial"/>
          <w:color w:val="010000"/>
          <w:sz w:val="20"/>
        </w:rPr>
        <w:t>Report on operation results in 2023 and operation plan in 2024 of the Board of Directors;</w:t>
      </w:r>
    </w:p>
    <w:p w14:paraId="0000000A" w14:textId="77777777" w:rsidR="00E70DD0" w:rsidRPr="00F55B96" w:rsidRDefault="00F55B96" w:rsidP="00A1418F">
      <w:pPr>
        <w:numPr>
          <w:ilvl w:val="0"/>
          <w:numId w:val="2"/>
        </w:numPr>
        <w:pBdr>
          <w:top w:val="nil"/>
          <w:left w:val="nil"/>
          <w:bottom w:val="nil"/>
          <w:right w:val="nil"/>
          <w:between w:val="nil"/>
        </w:pBdr>
        <w:tabs>
          <w:tab w:val="left" w:pos="450"/>
          <w:tab w:val="left" w:pos="1570"/>
        </w:tabs>
        <w:spacing w:after="120" w:line="360" w:lineRule="auto"/>
        <w:jc w:val="both"/>
        <w:rPr>
          <w:rFonts w:ascii="Arial" w:eastAsia="Arial" w:hAnsi="Arial" w:cs="Arial"/>
          <w:color w:val="010000"/>
          <w:sz w:val="20"/>
          <w:szCs w:val="20"/>
        </w:rPr>
      </w:pPr>
      <w:r w:rsidRPr="00F55B96">
        <w:rPr>
          <w:rFonts w:ascii="Arial" w:hAnsi="Arial" w:cs="Arial"/>
          <w:color w:val="010000"/>
          <w:sz w:val="20"/>
        </w:rPr>
        <w:t>Report on the production and business results in 2023 and the production and business plan for 2024 of the Board of Managers.</w:t>
      </w:r>
    </w:p>
    <w:p w14:paraId="0000000B" w14:textId="77777777" w:rsidR="00E70DD0" w:rsidRPr="00F55B96" w:rsidRDefault="00F55B96" w:rsidP="00A1418F">
      <w:pPr>
        <w:numPr>
          <w:ilvl w:val="0"/>
          <w:numId w:val="2"/>
        </w:numPr>
        <w:pBdr>
          <w:top w:val="nil"/>
          <w:left w:val="nil"/>
          <w:bottom w:val="nil"/>
          <w:right w:val="nil"/>
          <w:between w:val="nil"/>
        </w:pBdr>
        <w:tabs>
          <w:tab w:val="left" w:pos="450"/>
          <w:tab w:val="left" w:pos="1556"/>
        </w:tabs>
        <w:spacing w:after="120" w:line="360" w:lineRule="auto"/>
        <w:jc w:val="both"/>
        <w:rPr>
          <w:rFonts w:ascii="Arial" w:eastAsia="Arial" w:hAnsi="Arial" w:cs="Arial"/>
          <w:color w:val="010000"/>
          <w:sz w:val="20"/>
          <w:szCs w:val="20"/>
        </w:rPr>
      </w:pPr>
      <w:r w:rsidRPr="00F55B96">
        <w:rPr>
          <w:rFonts w:ascii="Arial" w:hAnsi="Arial" w:cs="Arial"/>
          <w:color w:val="010000"/>
          <w:sz w:val="20"/>
        </w:rPr>
        <w:t>Report on the activities result in 2023 and activities plan for 2024 of the Supervisory Board;</w:t>
      </w:r>
    </w:p>
    <w:p w14:paraId="0000000C" w14:textId="1553983A" w:rsidR="00E70DD0" w:rsidRPr="00F55B96" w:rsidRDefault="00F55B96" w:rsidP="00A1418F">
      <w:pPr>
        <w:numPr>
          <w:ilvl w:val="0"/>
          <w:numId w:val="2"/>
        </w:numPr>
        <w:pBdr>
          <w:top w:val="nil"/>
          <w:left w:val="nil"/>
          <w:bottom w:val="nil"/>
          <w:right w:val="nil"/>
          <w:between w:val="nil"/>
        </w:pBdr>
        <w:tabs>
          <w:tab w:val="left" w:pos="450"/>
          <w:tab w:val="left" w:pos="1922"/>
        </w:tabs>
        <w:spacing w:after="120" w:line="360" w:lineRule="auto"/>
        <w:jc w:val="both"/>
        <w:rPr>
          <w:rFonts w:ascii="Arial" w:eastAsia="Arial" w:hAnsi="Arial" w:cs="Arial"/>
          <w:color w:val="010000"/>
          <w:sz w:val="20"/>
          <w:szCs w:val="20"/>
        </w:rPr>
      </w:pPr>
      <w:r w:rsidRPr="00F55B96">
        <w:rPr>
          <w:rFonts w:ascii="Arial" w:hAnsi="Arial" w:cs="Arial"/>
          <w:color w:val="010000"/>
          <w:sz w:val="20"/>
        </w:rPr>
        <w:t>Proposal on approving the Audited Financial Statements 2023;</w:t>
      </w:r>
    </w:p>
    <w:p w14:paraId="0000000D" w14:textId="773F963A" w:rsidR="00E70DD0" w:rsidRPr="00F55B96" w:rsidRDefault="00F55B96" w:rsidP="00A1418F">
      <w:pPr>
        <w:pBdr>
          <w:top w:val="nil"/>
          <w:left w:val="nil"/>
          <w:bottom w:val="nil"/>
          <w:right w:val="nil"/>
          <w:between w:val="nil"/>
        </w:pBdr>
        <w:tabs>
          <w:tab w:val="left" w:pos="450"/>
          <w:tab w:val="left" w:pos="1922"/>
        </w:tabs>
        <w:spacing w:after="120" w:line="360" w:lineRule="auto"/>
        <w:jc w:val="both"/>
        <w:rPr>
          <w:rFonts w:ascii="Arial" w:eastAsia="Arial" w:hAnsi="Arial" w:cs="Arial"/>
          <w:color w:val="010000"/>
          <w:sz w:val="20"/>
          <w:szCs w:val="20"/>
        </w:rPr>
      </w:pPr>
      <w:proofErr w:type="spellStart"/>
      <w:proofErr w:type="gramStart"/>
      <w:r w:rsidRPr="00F55B96">
        <w:rPr>
          <w:rFonts w:ascii="Arial" w:eastAsia="Arial" w:hAnsi="Arial" w:cs="Arial"/>
          <w:color w:val="010000"/>
          <w:sz w:val="20"/>
          <w:szCs w:val="20"/>
        </w:rPr>
        <w:t>dd</w:t>
      </w:r>
      <w:proofErr w:type="spellEnd"/>
      <w:proofErr w:type="gramEnd"/>
      <w:r w:rsidRPr="00F55B96">
        <w:rPr>
          <w:rFonts w:ascii="Arial" w:eastAsia="Arial" w:hAnsi="Arial" w:cs="Arial"/>
          <w:color w:val="010000"/>
          <w:sz w:val="20"/>
          <w:szCs w:val="20"/>
        </w:rPr>
        <w:t>)</w:t>
      </w:r>
      <w:r w:rsidRPr="00F55B96">
        <w:rPr>
          <w:rFonts w:ascii="Arial" w:eastAsia="Arial" w:hAnsi="Arial" w:cs="Arial"/>
          <w:color w:val="010000"/>
          <w:sz w:val="20"/>
          <w:szCs w:val="20"/>
        </w:rPr>
        <w:tab/>
      </w:r>
      <w:r w:rsidRPr="00F55B96">
        <w:rPr>
          <w:rFonts w:ascii="Arial" w:hAnsi="Arial" w:cs="Arial"/>
          <w:color w:val="010000"/>
          <w:sz w:val="20"/>
        </w:rPr>
        <w:t>Proposal on profit distribution plan in 2023, dividend distribution level in 2023;</w:t>
      </w:r>
    </w:p>
    <w:p w14:paraId="0000000E" w14:textId="77777777" w:rsidR="00E70DD0" w:rsidRPr="00F55B96" w:rsidRDefault="00F55B96" w:rsidP="00A1418F">
      <w:pPr>
        <w:numPr>
          <w:ilvl w:val="0"/>
          <w:numId w:val="2"/>
        </w:numPr>
        <w:pBdr>
          <w:top w:val="nil"/>
          <w:left w:val="nil"/>
          <w:bottom w:val="nil"/>
          <w:right w:val="nil"/>
          <w:between w:val="nil"/>
        </w:pBdr>
        <w:tabs>
          <w:tab w:val="left" w:pos="450"/>
          <w:tab w:val="left" w:pos="1922"/>
        </w:tabs>
        <w:spacing w:after="120" w:line="360" w:lineRule="auto"/>
        <w:jc w:val="both"/>
        <w:rPr>
          <w:rFonts w:ascii="Arial" w:eastAsia="Arial" w:hAnsi="Arial" w:cs="Arial"/>
          <w:color w:val="010000"/>
          <w:sz w:val="20"/>
          <w:szCs w:val="20"/>
        </w:rPr>
      </w:pPr>
      <w:r w:rsidRPr="00F55B96">
        <w:rPr>
          <w:rFonts w:ascii="Arial" w:hAnsi="Arial" w:cs="Arial"/>
          <w:color w:val="010000"/>
          <w:sz w:val="20"/>
        </w:rPr>
        <w:t>Proposal on approving the list of audit companies for the Financial Statements 2024;</w:t>
      </w:r>
    </w:p>
    <w:p w14:paraId="0000000F" w14:textId="77777777" w:rsidR="00E70DD0" w:rsidRPr="00F55B96" w:rsidRDefault="00F55B96" w:rsidP="00A1418F">
      <w:pPr>
        <w:numPr>
          <w:ilvl w:val="0"/>
          <w:numId w:val="3"/>
        </w:numPr>
        <w:pBdr>
          <w:top w:val="nil"/>
          <w:left w:val="nil"/>
          <w:bottom w:val="nil"/>
          <w:right w:val="nil"/>
          <w:between w:val="nil"/>
        </w:pBdr>
        <w:tabs>
          <w:tab w:val="left" w:pos="450"/>
          <w:tab w:val="left" w:pos="1686"/>
        </w:tabs>
        <w:spacing w:after="120" w:line="360" w:lineRule="auto"/>
        <w:jc w:val="both"/>
        <w:rPr>
          <w:rFonts w:ascii="Arial" w:eastAsia="Arial" w:hAnsi="Arial" w:cs="Arial"/>
          <w:color w:val="010000"/>
          <w:sz w:val="20"/>
          <w:szCs w:val="20"/>
        </w:rPr>
      </w:pPr>
      <w:r w:rsidRPr="00F55B96">
        <w:rPr>
          <w:rFonts w:ascii="Arial" w:hAnsi="Arial" w:cs="Arial"/>
          <w:color w:val="010000"/>
          <w:sz w:val="20"/>
        </w:rPr>
        <w:t>Report on the Salary and Remuneration Fund implemented in 2023 and the Salary and Remuneration Fund plan for 2024 of the Board of Directors and Supervisory Board.</w:t>
      </w:r>
    </w:p>
    <w:p w14:paraId="00000010" w14:textId="77777777" w:rsidR="00E70DD0" w:rsidRPr="00F55B96" w:rsidRDefault="00F55B96" w:rsidP="00A1418F">
      <w:pPr>
        <w:numPr>
          <w:ilvl w:val="0"/>
          <w:numId w:val="3"/>
        </w:numPr>
        <w:pBdr>
          <w:top w:val="nil"/>
          <w:left w:val="nil"/>
          <w:bottom w:val="nil"/>
          <w:right w:val="nil"/>
          <w:between w:val="nil"/>
        </w:pBdr>
        <w:tabs>
          <w:tab w:val="left" w:pos="450"/>
          <w:tab w:val="left" w:pos="1871"/>
        </w:tabs>
        <w:spacing w:after="120" w:line="360" w:lineRule="auto"/>
        <w:jc w:val="both"/>
        <w:rPr>
          <w:rFonts w:ascii="Arial" w:eastAsia="Arial" w:hAnsi="Arial" w:cs="Arial"/>
          <w:color w:val="010000"/>
          <w:sz w:val="20"/>
          <w:szCs w:val="20"/>
        </w:rPr>
      </w:pPr>
      <w:r w:rsidRPr="00F55B96">
        <w:rPr>
          <w:rFonts w:ascii="Arial" w:hAnsi="Arial" w:cs="Arial"/>
          <w:color w:val="010000"/>
          <w:sz w:val="20"/>
        </w:rPr>
        <w:t>Other issues under the authorities of the General Meeting of Shareholders.</w:t>
      </w:r>
    </w:p>
    <w:p w14:paraId="00000011" w14:textId="77777777" w:rsidR="00E70DD0" w:rsidRPr="00F55B96" w:rsidRDefault="00F55B96" w:rsidP="00A1418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F55B96">
        <w:rPr>
          <w:rFonts w:ascii="Arial" w:hAnsi="Arial" w:cs="Arial"/>
          <w:color w:val="010000"/>
          <w:sz w:val="20"/>
        </w:rPr>
        <w:t>‎‎Article 2.</w:t>
      </w:r>
      <w:proofErr w:type="gramEnd"/>
      <w:r w:rsidRPr="00F55B96">
        <w:rPr>
          <w:rFonts w:ascii="Arial" w:hAnsi="Arial" w:cs="Arial"/>
          <w:color w:val="010000"/>
          <w:sz w:val="20"/>
        </w:rPr>
        <w:t xml:space="preserve"> Assign the Manager of the Company to organize and direct units to enforce the preparation and the organization of the Annual General Meeting of Shareholders 2024 of Pho Yen Mechanical Joint Stock Company in accordance with the law and the Company’s Charter.</w:t>
      </w:r>
    </w:p>
    <w:p w14:paraId="00000012" w14:textId="479A499C" w:rsidR="00E70DD0" w:rsidRPr="00F55B96" w:rsidRDefault="00F55B96" w:rsidP="00A1418F">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proofErr w:type="gramStart"/>
      <w:r w:rsidRPr="00F55B96">
        <w:rPr>
          <w:rFonts w:ascii="Arial" w:hAnsi="Arial" w:cs="Arial"/>
          <w:color w:val="010000"/>
          <w:sz w:val="20"/>
        </w:rPr>
        <w:t>‎‎Article 3.</w:t>
      </w:r>
      <w:proofErr w:type="gramEnd"/>
      <w:r w:rsidRPr="00F55B96">
        <w:rPr>
          <w:rFonts w:ascii="Arial" w:hAnsi="Arial" w:cs="Arial"/>
          <w:color w:val="010000"/>
          <w:sz w:val="20"/>
        </w:rPr>
        <w:t xml:space="preserve"> Members of the Board of Directors, the Manager, the Chief of Office and the Person in charge of corporate governance based on their functions and tasks, are responsible for implementing this Resolution./.</w:t>
      </w:r>
    </w:p>
    <w:sectPr w:rsidR="00E70DD0" w:rsidRPr="00F55B96" w:rsidSect="009C241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B3"/>
    <w:multiLevelType w:val="multilevel"/>
    <w:tmpl w:val="94A04BF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16567C"/>
    <w:multiLevelType w:val="multilevel"/>
    <w:tmpl w:val="3F728D86"/>
    <w:lvl w:ilvl="0">
      <w:start w:val="7"/>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894BD5"/>
    <w:multiLevelType w:val="multilevel"/>
    <w:tmpl w:val="BF86003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384399"/>
    <w:multiLevelType w:val="multilevel"/>
    <w:tmpl w:val="F4EEFF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D0"/>
    <w:rsid w:val="009C2415"/>
    <w:rsid w:val="00A1418F"/>
    <w:rsid w:val="00E70DD0"/>
    <w:rsid w:val="00F55B9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E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8"/>
      <w:szCs w:val="8"/>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ind w:firstLine="2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09" w:lineRule="auto"/>
    </w:pPr>
    <w:rPr>
      <w:rFonts w:ascii="Arial" w:eastAsia="Arial" w:hAnsi="Arial" w:cs="Arial"/>
      <w:b/>
      <w:bCs/>
      <w:sz w:val="8"/>
      <w:szCs w:val="8"/>
    </w:rPr>
  </w:style>
  <w:style w:type="paragraph" w:customStyle="1" w:styleId="Bodytext30">
    <w:name w:val="Body text (3)"/>
    <w:basedOn w:val="Normal"/>
    <w:link w:val="Bodytext3"/>
    <w:rPr>
      <w:rFonts w:ascii="Arial" w:eastAsia="Arial" w:hAnsi="Arial" w:cs="Arial"/>
      <w:b/>
      <w:bCs/>
      <w:sz w:val="8"/>
      <w:szCs w:val="8"/>
    </w:rPr>
  </w:style>
  <w:style w:type="paragraph" w:customStyle="1" w:styleId="Heading11">
    <w:name w:val="Heading #1"/>
    <w:basedOn w:val="Normal"/>
    <w:link w:val="Heading10"/>
    <w:pPr>
      <w:ind w:left="650"/>
      <w:jc w:val="center"/>
      <w:outlineLvl w:val="0"/>
    </w:pPr>
    <w:rPr>
      <w:rFonts w:ascii="Times New Roman" w:eastAsia="Times New Roman" w:hAnsi="Times New Roman" w:cs="Times New Roman"/>
      <w:b/>
      <w:bCs/>
      <w:i/>
      <w:iCs/>
      <w:sz w:val="26"/>
      <w:szCs w:val="26"/>
    </w:rPr>
  </w:style>
  <w:style w:type="paragraph" w:customStyle="1" w:styleId="Bodytext20">
    <w:name w:val="Body text (2)"/>
    <w:basedOn w:val="Normal"/>
    <w:link w:val="Bodytext2"/>
    <w:pPr>
      <w:ind w:firstLine="7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8"/>
      <w:szCs w:val="8"/>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ind w:firstLine="20"/>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09" w:lineRule="auto"/>
    </w:pPr>
    <w:rPr>
      <w:rFonts w:ascii="Arial" w:eastAsia="Arial" w:hAnsi="Arial" w:cs="Arial"/>
      <w:b/>
      <w:bCs/>
      <w:sz w:val="8"/>
      <w:szCs w:val="8"/>
    </w:rPr>
  </w:style>
  <w:style w:type="paragraph" w:customStyle="1" w:styleId="Bodytext30">
    <w:name w:val="Body text (3)"/>
    <w:basedOn w:val="Normal"/>
    <w:link w:val="Bodytext3"/>
    <w:rPr>
      <w:rFonts w:ascii="Arial" w:eastAsia="Arial" w:hAnsi="Arial" w:cs="Arial"/>
      <w:b/>
      <w:bCs/>
      <w:sz w:val="8"/>
      <w:szCs w:val="8"/>
    </w:rPr>
  </w:style>
  <w:style w:type="paragraph" w:customStyle="1" w:styleId="Heading11">
    <w:name w:val="Heading #1"/>
    <w:basedOn w:val="Normal"/>
    <w:link w:val="Heading10"/>
    <w:pPr>
      <w:ind w:left="650"/>
      <w:jc w:val="center"/>
      <w:outlineLvl w:val="0"/>
    </w:pPr>
    <w:rPr>
      <w:rFonts w:ascii="Times New Roman" w:eastAsia="Times New Roman" w:hAnsi="Times New Roman" w:cs="Times New Roman"/>
      <w:b/>
      <w:bCs/>
      <w:i/>
      <w:iCs/>
      <w:sz w:val="26"/>
      <w:szCs w:val="26"/>
    </w:rPr>
  </w:style>
  <w:style w:type="paragraph" w:customStyle="1" w:styleId="Bodytext20">
    <w:name w:val="Body text (2)"/>
    <w:basedOn w:val="Normal"/>
    <w:link w:val="Bodytext2"/>
    <w:pPr>
      <w:ind w:firstLine="7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hgEvUIXSGVFHtJ1iqR3C+JfEKQ==">CgMxLjA4AHIhMWcxcVBUeGNUQWxBRkVYSWxtQ0ZLWElaSjdyMjVIVklq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2024-04-22T04:07:00Z</dcterms:created>
  <dcterms:modified xsi:type="dcterms:W3CDTF">2024-04-23T08:33:00Z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618991e070eb17f2e079e0ad89d8e7a66083a54cd882e75c14ecd094485bbdff</vt:lpwstr>
  </property>
</Properties>
</file>