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A4B85" w14:textId="77777777" w:rsidR="009C5F29" w:rsidRDefault="00AF27D7">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MCG: Annual General Mandate 2024</w:t>
      </w:r>
    </w:p>
    <w:p w14:paraId="590006C8"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15, 2024, MCG Energy and Real Estate </w:t>
      </w:r>
      <w:proofErr w:type="spellStart"/>
      <w:r>
        <w:rPr>
          <w:rFonts w:ascii="Arial" w:hAnsi="Arial"/>
          <w:color w:val="010000"/>
          <w:sz w:val="20"/>
        </w:rPr>
        <w:t>JSC</w:t>
      </w:r>
      <w:proofErr w:type="spellEnd"/>
      <w:r>
        <w:rPr>
          <w:rFonts w:ascii="Arial" w:hAnsi="Arial"/>
          <w:color w:val="010000"/>
          <w:sz w:val="20"/>
        </w:rPr>
        <w:t xml:space="preserve"> announced General Mandate No. 01/2024/NQ-</w:t>
      </w:r>
      <w:proofErr w:type="spellStart"/>
      <w:r>
        <w:rPr>
          <w:rFonts w:ascii="Arial" w:hAnsi="Arial"/>
          <w:color w:val="010000"/>
          <w:sz w:val="20"/>
        </w:rPr>
        <w:t>DHDCD</w:t>
      </w:r>
      <w:proofErr w:type="spellEnd"/>
      <w:r>
        <w:rPr>
          <w:rFonts w:ascii="Arial" w:hAnsi="Arial"/>
          <w:color w:val="010000"/>
          <w:sz w:val="20"/>
        </w:rPr>
        <w:t xml:space="preserve"> as follows:</w:t>
      </w:r>
    </w:p>
    <w:p w14:paraId="7110FBD9"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The Annual General Meeting of Shareholders in 2024 approves the following contents:</w:t>
      </w:r>
    </w:p>
    <w:p w14:paraId="339AA1D4" w14:textId="77777777" w:rsidR="009C5F29" w:rsidRDefault="00AF27D7">
      <w:pPr>
        <w:numPr>
          <w:ilvl w:val="0"/>
          <w:numId w:val="2"/>
        </w:numPr>
        <w:pBdr>
          <w:top w:val="nil"/>
          <w:left w:val="nil"/>
          <w:bottom w:val="nil"/>
          <w:right w:val="nil"/>
          <w:between w:val="nil"/>
        </w:pBdr>
        <w:tabs>
          <w:tab w:val="left" w:pos="432"/>
          <w:tab w:val="left" w:pos="1095"/>
        </w:tabs>
        <w:spacing w:after="120" w:line="360" w:lineRule="auto"/>
        <w:rPr>
          <w:rFonts w:ascii="Arial" w:eastAsia="Arial" w:hAnsi="Arial" w:cs="Arial"/>
          <w:color w:val="010000"/>
          <w:sz w:val="20"/>
          <w:szCs w:val="20"/>
        </w:rPr>
      </w:pPr>
      <w:r>
        <w:rPr>
          <w:rFonts w:ascii="Arial" w:hAnsi="Arial"/>
          <w:color w:val="010000"/>
          <w:sz w:val="20"/>
        </w:rPr>
        <w:t>Production and business results in 2023 and profit distribution in 2023:</w:t>
      </w:r>
    </w:p>
    <w:p w14:paraId="4E3F0E5E" w14:textId="77777777" w:rsidR="009C5F29" w:rsidRDefault="00AF27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Main targets:</w:t>
      </w:r>
    </w:p>
    <w:p w14:paraId="64170982" w14:textId="77777777" w:rsidR="009C5F29" w:rsidRDefault="00AF27D7">
      <w:pPr>
        <w:numPr>
          <w:ilvl w:val="0"/>
          <w:numId w:val="3"/>
        </w:numPr>
        <w:pBdr>
          <w:top w:val="nil"/>
          <w:left w:val="nil"/>
          <w:bottom w:val="nil"/>
          <w:right w:val="nil"/>
          <w:between w:val="nil"/>
        </w:pBdr>
        <w:tabs>
          <w:tab w:val="left" w:pos="432"/>
          <w:tab w:val="left" w:pos="1005"/>
          <w:tab w:val="left" w:pos="2866"/>
        </w:tabs>
        <w:spacing w:after="120" w:line="360" w:lineRule="auto"/>
        <w:rPr>
          <w:rFonts w:ascii="Arial" w:eastAsia="Arial" w:hAnsi="Arial" w:cs="Arial"/>
          <w:color w:val="010000"/>
          <w:sz w:val="20"/>
          <w:szCs w:val="20"/>
        </w:rPr>
      </w:pPr>
      <w:r>
        <w:rPr>
          <w:rFonts w:ascii="Arial" w:hAnsi="Arial"/>
          <w:color w:val="010000"/>
          <w:sz w:val="20"/>
        </w:rPr>
        <w:t xml:space="preserve">Output: </w:t>
      </w:r>
      <w:proofErr w:type="spellStart"/>
      <w:r>
        <w:rPr>
          <w:rFonts w:ascii="Arial" w:hAnsi="Arial"/>
          <w:color w:val="010000"/>
          <w:sz w:val="20"/>
        </w:rPr>
        <w:t>VND</w:t>
      </w:r>
      <w:proofErr w:type="spellEnd"/>
      <w:r>
        <w:rPr>
          <w:rFonts w:ascii="Arial" w:hAnsi="Arial"/>
          <w:color w:val="010000"/>
          <w:sz w:val="20"/>
        </w:rPr>
        <w:t xml:space="preserve"> 48.11 billion;</w:t>
      </w:r>
    </w:p>
    <w:p w14:paraId="62D4A680" w14:textId="4B7B82E4" w:rsidR="009C5F29" w:rsidRDefault="00AF27D7">
      <w:pPr>
        <w:numPr>
          <w:ilvl w:val="0"/>
          <w:numId w:val="3"/>
        </w:numPr>
        <w:pBdr>
          <w:top w:val="nil"/>
          <w:left w:val="nil"/>
          <w:bottom w:val="nil"/>
          <w:right w:val="nil"/>
          <w:between w:val="nil"/>
        </w:pBdr>
        <w:tabs>
          <w:tab w:val="left" w:pos="432"/>
          <w:tab w:val="left" w:pos="1008"/>
          <w:tab w:val="left" w:pos="2866"/>
        </w:tabs>
        <w:spacing w:after="120" w:line="360" w:lineRule="auto"/>
        <w:rPr>
          <w:rFonts w:ascii="Arial" w:eastAsia="Arial" w:hAnsi="Arial" w:cs="Arial"/>
          <w:color w:val="010000"/>
          <w:sz w:val="20"/>
          <w:szCs w:val="20"/>
        </w:rPr>
      </w:pPr>
      <w:r>
        <w:rPr>
          <w:rFonts w:ascii="Arial" w:hAnsi="Arial"/>
          <w:color w:val="010000"/>
          <w:sz w:val="20"/>
        </w:rPr>
        <w:t xml:space="preserve">Revenue: </w:t>
      </w:r>
      <w:proofErr w:type="spellStart"/>
      <w:r>
        <w:rPr>
          <w:rFonts w:ascii="Arial" w:hAnsi="Arial"/>
          <w:color w:val="010000"/>
          <w:sz w:val="20"/>
        </w:rPr>
        <w:t>VND</w:t>
      </w:r>
      <w:proofErr w:type="spellEnd"/>
      <w:r>
        <w:rPr>
          <w:rFonts w:ascii="Arial" w:hAnsi="Arial"/>
          <w:color w:val="010000"/>
          <w:sz w:val="20"/>
        </w:rPr>
        <w:t xml:space="preserve"> 38.49 billion;</w:t>
      </w:r>
    </w:p>
    <w:p w14:paraId="13047A62" w14:textId="77777777" w:rsidR="009C5F29" w:rsidRDefault="00AF27D7">
      <w:pPr>
        <w:numPr>
          <w:ilvl w:val="0"/>
          <w:numId w:val="3"/>
        </w:numPr>
        <w:pBdr>
          <w:top w:val="nil"/>
          <w:left w:val="nil"/>
          <w:bottom w:val="nil"/>
          <w:right w:val="nil"/>
          <w:between w:val="nil"/>
        </w:pBdr>
        <w:tabs>
          <w:tab w:val="left" w:pos="432"/>
          <w:tab w:val="left" w:pos="1008"/>
        </w:tabs>
        <w:spacing w:after="120" w:line="360" w:lineRule="auto"/>
        <w:rPr>
          <w:rFonts w:ascii="Arial" w:eastAsia="Arial" w:hAnsi="Arial" w:cs="Arial"/>
          <w:color w:val="010000"/>
          <w:sz w:val="20"/>
          <w:szCs w:val="20"/>
        </w:rPr>
      </w:pPr>
      <w:r>
        <w:rPr>
          <w:rFonts w:ascii="Arial" w:hAnsi="Arial"/>
          <w:color w:val="010000"/>
          <w:sz w:val="20"/>
        </w:rPr>
        <w:t xml:space="preserve">Profit after tax: </w:t>
      </w:r>
      <w:proofErr w:type="spellStart"/>
      <w:r>
        <w:rPr>
          <w:rFonts w:ascii="Arial" w:hAnsi="Arial"/>
          <w:color w:val="010000"/>
          <w:sz w:val="20"/>
        </w:rPr>
        <w:t>VND</w:t>
      </w:r>
      <w:proofErr w:type="spellEnd"/>
      <w:r>
        <w:rPr>
          <w:rFonts w:ascii="Arial" w:hAnsi="Arial"/>
          <w:color w:val="010000"/>
          <w:sz w:val="20"/>
        </w:rPr>
        <w:t xml:space="preserve"> -1.03 billion</w:t>
      </w:r>
    </w:p>
    <w:p w14:paraId="2DD7BB13" w14:textId="77777777" w:rsidR="009C5F29" w:rsidRDefault="00AF27D7">
      <w:pPr>
        <w:numPr>
          <w:ilvl w:val="0"/>
          <w:numId w:val="3"/>
        </w:numPr>
        <w:pBdr>
          <w:top w:val="nil"/>
          <w:left w:val="nil"/>
          <w:bottom w:val="nil"/>
          <w:right w:val="nil"/>
          <w:between w:val="nil"/>
        </w:pBdr>
        <w:tabs>
          <w:tab w:val="left" w:pos="432"/>
          <w:tab w:val="left" w:pos="1008"/>
          <w:tab w:val="left" w:pos="2866"/>
        </w:tabs>
        <w:spacing w:after="120" w:line="360" w:lineRule="auto"/>
        <w:rPr>
          <w:rFonts w:ascii="Arial" w:eastAsia="Arial" w:hAnsi="Arial" w:cs="Arial"/>
          <w:color w:val="010000"/>
          <w:sz w:val="20"/>
          <w:szCs w:val="20"/>
        </w:rPr>
      </w:pPr>
      <w:r>
        <w:rPr>
          <w:rFonts w:ascii="Arial" w:hAnsi="Arial"/>
          <w:color w:val="010000"/>
          <w:sz w:val="20"/>
        </w:rPr>
        <w:t>Dividends: No dividend payment</w:t>
      </w:r>
    </w:p>
    <w:p w14:paraId="48308797" w14:textId="77777777" w:rsidR="009C5F29" w:rsidRDefault="00AF27D7">
      <w:pPr>
        <w:numPr>
          <w:ilvl w:val="0"/>
          <w:numId w:val="2"/>
        </w:numPr>
        <w:pBdr>
          <w:top w:val="nil"/>
          <w:left w:val="nil"/>
          <w:bottom w:val="nil"/>
          <w:right w:val="nil"/>
          <w:between w:val="nil"/>
        </w:pBdr>
        <w:tabs>
          <w:tab w:val="left" w:pos="432"/>
          <w:tab w:val="left" w:pos="1086"/>
        </w:tabs>
        <w:spacing w:after="120" w:line="360" w:lineRule="auto"/>
        <w:rPr>
          <w:rFonts w:ascii="Arial" w:eastAsia="Arial" w:hAnsi="Arial" w:cs="Arial"/>
          <w:color w:val="010000"/>
          <w:sz w:val="20"/>
          <w:szCs w:val="20"/>
        </w:rPr>
      </w:pPr>
      <w:r>
        <w:rPr>
          <w:rFonts w:ascii="Arial" w:hAnsi="Arial"/>
          <w:color w:val="010000"/>
          <w:sz w:val="20"/>
        </w:rPr>
        <w:t>Report on the activities of the Board of Directors, Report of the General Manager, Report of the Supervisory Board</w:t>
      </w:r>
    </w:p>
    <w:p w14:paraId="08CE94D5" w14:textId="77777777" w:rsidR="009C5F29" w:rsidRDefault="00AF27D7">
      <w:pPr>
        <w:numPr>
          <w:ilvl w:val="0"/>
          <w:numId w:val="2"/>
        </w:numPr>
        <w:pBdr>
          <w:top w:val="nil"/>
          <w:left w:val="nil"/>
          <w:bottom w:val="nil"/>
          <w:right w:val="nil"/>
          <w:between w:val="nil"/>
        </w:pBdr>
        <w:tabs>
          <w:tab w:val="left" w:pos="432"/>
          <w:tab w:val="left" w:pos="1116"/>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Audited Financial Statements 2023;</w:t>
      </w:r>
    </w:p>
    <w:p w14:paraId="78307535" w14:textId="77777777" w:rsidR="009C5F29" w:rsidRDefault="00AF27D7">
      <w:pPr>
        <w:numPr>
          <w:ilvl w:val="0"/>
          <w:numId w:val="2"/>
        </w:numPr>
        <w:pBdr>
          <w:top w:val="nil"/>
          <w:left w:val="nil"/>
          <w:bottom w:val="nil"/>
          <w:right w:val="nil"/>
          <w:between w:val="nil"/>
        </w:pBdr>
        <w:tabs>
          <w:tab w:val="left" w:pos="432"/>
          <w:tab w:val="left" w:pos="1116"/>
        </w:tabs>
        <w:spacing w:after="120" w:line="360" w:lineRule="auto"/>
        <w:rPr>
          <w:rFonts w:ascii="Arial" w:eastAsia="Arial" w:hAnsi="Arial" w:cs="Arial"/>
          <w:color w:val="010000"/>
          <w:sz w:val="20"/>
          <w:szCs w:val="20"/>
        </w:rPr>
      </w:pPr>
      <w:r>
        <w:rPr>
          <w:rFonts w:ascii="Arial" w:hAnsi="Arial"/>
          <w:color w:val="010000"/>
          <w:sz w:val="20"/>
        </w:rPr>
        <w:t>Production and business plan for 2024 and dividends for 2024:</w:t>
      </w:r>
    </w:p>
    <w:p w14:paraId="760D7D8B" w14:textId="77777777" w:rsidR="009C5F29" w:rsidRDefault="00AF27D7">
      <w:pPr>
        <w:numPr>
          <w:ilvl w:val="0"/>
          <w:numId w:val="3"/>
        </w:numPr>
        <w:pBdr>
          <w:top w:val="nil"/>
          <w:left w:val="nil"/>
          <w:bottom w:val="nil"/>
          <w:right w:val="nil"/>
          <w:between w:val="nil"/>
        </w:pBdr>
        <w:tabs>
          <w:tab w:val="left" w:pos="432"/>
          <w:tab w:val="left" w:pos="1008"/>
          <w:tab w:val="left" w:pos="2866"/>
        </w:tabs>
        <w:spacing w:after="120" w:line="360" w:lineRule="auto"/>
        <w:rPr>
          <w:rFonts w:ascii="Arial" w:eastAsia="Arial" w:hAnsi="Arial" w:cs="Arial"/>
          <w:color w:val="010000"/>
          <w:sz w:val="20"/>
          <w:szCs w:val="20"/>
        </w:rPr>
      </w:pPr>
      <w:r>
        <w:rPr>
          <w:rFonts w:ascii="Arial" w:hAnsi="Arial"/>
          <w:color w:val="010000"/>
          <w:sz w:val="20"/>
        </w:rPr>
        <w:t xml:space="preserve">Output: </w:t>
      </w:r>
      <w:proofErr w:type="spellStart"/>
      <w:r>
        <w:rPr>
          <w:rFonts w:ascii="Arial" w:hAnsi="Arial"/>
          <w:color w:val="010000"/>
          <w:sz w:val="20"/>
        </w:rPr>
        <w:t>VND</w:t>
      </w:r>
      <w:proofErr w:type="spellEnd"/>
      <w:r>
        <w:rPr>
          <w:rFonts w:ascii="Arial" w:hAnsi="Arial"/>
          <w:color w:val="010000"/>
          <w:sz w:val="20"/>
        </w:rPr>
        <w:t xml:space="preserve"> 125.482 billion;</w:t>
      </w:r>
    </w:p>
    <w:p w14:paraId="7E96311B" w14:textId="5C594363" w:rsidR="009C5F29" w:rsidRDefault="00AF27D7">
      <w:pPr>
        <w:numPr>
          <w:ilvl w:val="0"/>
          <w:numId w:val="3"/>
        </w:numPr>
        <w:pBdr>
          <w:top w:val="nil"/>
          <w:left w:val="nil"/>
          <w:bottom w:val="nil"/>
          <w:right w:val="nil"/>
          <w:between w:val="nil"/>
        </w:pBdr>
        <w:tabs>
          <w:tab w:val="left" w:pos="432"/>
          <w:tab w:val="left" w:pos="1008"/>
          <w:tab w:val="left" w:pos="2866"/>
        </w:tabs>
        <w:spacing w:after="120" w:line="360" w:lineRule="auto"/>
        <w:rPr>
          <w:rFonts w:ascii="Arial" w:eastAsia="Arial" w:hAnsi="Arial" w:cs="Arial"/>
          <w:color w:val="010000"/>
          <w:sz w:val="20"/>
          <w:szCs w:val="20"/>
        </w:rPr>
      </w:pPr>
      <w:r>
        <w:rPr>
          <w:rFonts w:ascii="Arial" w:hAnsi="Arial"/>
          <w:color w:val="010000"/>
          <w:sz w:val="20"/>
        </w:rPr>
        <w:t xml:space="preserve">Revenue: </w:t>
      </w:r>
      <w:proofErr w:type="spellStart"/>
      <w:r>
        <w:rPr>
          <w:rFonts w:ascii="Arial" w:hAnsi="Arial"/>
          <w:color w:val="010000"/>
          <w:sz w:val="20"/>
        </w:rPr>
        <w:t>VND</w:t>
      </w:r>
      <w:proofErr w:type="spellEnd"/>
      <w:r>
        <w:rPr>
          <w:rFonts w:ascii="Arial" w:hAnsi="Arial"/>
          <w:color w:val="010000"/>
          <w:sz w:val="20"/>
        </w:rPr>
        <w:t xml:space="preserve"> 161.691 billion;</w:t>
      </w:r>
    </w:p>
    <w:p w14:paraId="62E6E380" w14:textId="77777777" w:rsidR="009C5F29" w:rsidRDefault="00AF27D7">
      <w:pPr>
        <w:numPr>
          <w:ilvl w:val="0"/>
          <w:numId w:val="3"/>
        </w:numPr>
        <w:pBdr>
          <w:top w:val="nil"/>
          <w:left w:val="nil"/>
          <w:bottom w:val="nil"/>
          <w:right w:val="nil"/>
          <w:between w:val="nil"/>
        </w:pBdr>
        <w:tabs>
          <w:tab w:val="left" w:pos="432"/>
          <w:tab w:val="left" w:pos="1008"/>
        </w:tabs>
        <w:spacing w:after="120" w:line="360" w:lineRule="auto"/>
        <w:rPr>
          <w:rFonts w:ascii="Arial" w:eastAsia="Arial" w:hAnsi="Arial" w:cs="Arial"/>
          <w:color w:val="010000"/>
          <w:sz w:val="20"/>
          <w:szCs w:val="20"/>
        </w:rPr>
      </w:pPr>
      <w:r>
        <w:rPr>
          <w:rFonts w:ascii="Arial" w:hAnsi="Arial"/>
          <w:color w:val="010000"/>
          <w:sz w:val="20"/>
        </w:rPr>
        <w:t xml:space="preserve">Profit after tax </w:t>
      </w:r>
      <w:proofErr w:type="spellStart"/>
      <w:r>
        <w:rPr>
          <w:rFonts w:ascii="Arial" w:hAnsi="Arial"/>
          <w:color w:val="010000"/>
          <w:sz w:val="20"/>
        </w:rPr>
        <w:t>VND</w:t>
      </w:r>
      <w:proofErr w:type="spellEnd"/>
      <w:r>
        <w:rPr>
          <w:rFonts w:ascii="Arial" w:hAnsi="Arial"/>
          <w:color w:val="010000"/>
          <w:sz w:val="20"/>
        </w:rPr>
        <w:t xml:space="preserve"> 1.53 billion;</w:t>
      </w:r>
    </w:p>
    <w:p w14:paraId="4EB287BB" w14:textId="77777777" w:rsidR="009C5F29" w:rsidRDefault="00AF27D7">
      <w:pPr>
        <w:numPr>
          <w:ilvl w:val="0"/>
          <w:numId w:val="3"/>
        </w:numPr>
        <w:pBdr>
          <w:top w:val="nil"/>
          <w:left w:val="nil"/>
          <w:bottom w:val="nil"/>
          <w:right w:val="nil"/>
          <w:between w:val="nil"/>
        </w:pBdr>
        <w:tabs>
          <w:tab w:val="left" w:pos="432"/>
          <w:tab w:val="left" w:pos="1008"/>
          <w:tab w:val="left" w:pos="2866"/>
        </w:tabs>
        <w:spacing w:after="120" w:line="360" w:lineRule="auto"/>
        <w:rPr>
          <w:rFonts w:ascii="Arial" w:eastAsia="Arial" w:hAnsi="Arial" w:cs="Arial"/>
          <w:color w:val="010000"/>
          <w:sz w:val="20"/>
          <w:szCs w:val="20"/>
        </w:rPr>
      </w:pPr>
      <w:r>
        <w:rPr>
          <w:rFonts w:ascii="Arial" w:hAnsi="Arial"/>
          <w:color w:val="010000"/>
          <w:sz w:val="20"/>
        </w:rPr>
        <w:t>Dividends: No dividend payment</w:t>
      </w:r>
    </w:p>
    <w:p w14:paraId="320DEFCB" w14:textId="77777777" w:rsidR="009C5F29" w:rsidRDefault="00AF27D7">
      <w:pPr>
        <w:numPr>
          <w:ilvl w:val="0"/>
          <w:numId w:val="2"/>
        </w:numPr>
        <w:pBdr>
          <w:top w:val="nil"/>
          <w:left w:val="nil"/>
          <w:bottom w:val="nil"/>
          <w:right w:val="nil"/>
          <w:between w:val="nil"/>
        </w:pBdr>
        <w:tabs>
          <w:tab w:val="left" w:pos="432"/>
          <w:tab w:val="left" w:pos="1008"/>
        </w:tabs>
        <w:spacing w:after="120" w:line="360" w:lineRule="auto"/>
        <w:rPr>
          <w:rFonts w:ascii="Arial" w:eastAsia="Arial" w:hAnsi="Arial" w:cs="Arial"/>
          <w:color w:val="010000"/>
          <w:sz w:val="20"/>
          <w:szCs w:val="20"/>
        </w:rPr>
      </w:pPr>
      <w:r>
        <w:rPr>
          <w:rFonts w:ascii="Arial" w:hAnsi="Arial"/>
          <w:color w:val="010000"/>
          <w:sz w:val="20"/>
        </w:rPr>
        <w:t xml:space="preserve">Salary and remuneration of members of the Board of Directors and Supervisory Board, person in charge of Internal Audit, person in charge of Corporate Governance -cum- Company Secretariat, person in charge of Information Disclosure  </w:t>
      </w:r>
    </w:p>
    <w:p w14:paraId="5BB516EF"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The Board of Directors submits to the General Meeting of Shareholders the total salary payment for the Chair of the Board of Directors and remuneration for members of the Board of Directors, Supervisory Board in the fiscal year 2023 is </w:t>
      </w:r>
      <w:proofErr w:type="spellStart"/>
      <w:r>
        <w:rPr>
          <w:rFonts w:ascii="Arial" w:hAnsi="Arial"/>
          <w:color w:val="010000"/>
          <w:sz w:val="20"/>
        </w:rPr>
        <w:t>VND</w:t>
      </w:r>
      <w:proofErr w:type="spellEnd"/>
      <w:r>
        <w:rPr>
          <w:rFonts w:ascii="Arial" w:hAnsi="Arial"/>
          <w:color w:val="010000"/>
          <w:sz w:val="20"/>
        </w:rPr>
        <w:t xml:space="preserve"> 638,094,545; the total remuneration payment for the person in charge of Internal Audit, person in charge of Corporate Governance -cum- Company Secretariat, person in charge of Information Disclosure in the fiscal year 2023 is </w:t>
      </w:r>
      <w:proofErr w:type="spellStart"/>
      <w:r>
        <w:rPr>
          <w:rFonts w:ascii="Arial" w:hAnsi="Arial"/>
          <w:color w:val="010000"/>
          <w:sz w:val="20"/>
        </w:rPr>
        <w:t>VND</w:t>
      </w:r>
      <w:proofErr w:type="spellEnd"/>
      <w:r>
        <w:rPr>
          <w:rFonts w:ascii="Arial" w:hAnsi="Arial"/>
          <w:color w:val="010000"/>
          <w:sz w:val="20"/>
        </w:rPr>
        <w:t xml:space="preserve"> 36,000,000 and proposes the remuneration for members of the Board of Directors and Supervisory Board, person in charge of Internal Audit, person in charge of Corporate Governance -cum- Company Secretariat, person in charge of Information Disclosure in the fiscal year 2024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3863"/>
        <w:gridCol w:w="1742"/>
        <w:gridCol w:w="1612"/>
        <w:gridCol w:w="1165"/>
      </w:tblGrid>
      <w:tr w:rsidR="009C5F29" w14:paraId="7EA1CB7E" w14:textId="77777777">
        <w:tc>
          <w:tcPr>
            <w:tcW w:w="635" w:type="dxa"/>
            <w:shd w:val="clear" w:color="auto" w:fill="auto"/>
            <w:tcMar>
              <w:top w:w="0" w:type="dxa"/>
              <w:bottom w:w="0" w:type="dxa"/>
            </w:tcMar>
            <w:vAlign w:val="center"/>
          </w:tcPr>
          <w:p w14:paraId="4D3DC702"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863" w:type="dxa"/>
            <w:shd w:val="clear" w:color="auto" w:fill="auto"/>
            <w:tcMar>
              <w:top w:w="0" w:type="dxa"/>
              <w:bottom w:w="0" w:type="dxa"/>
            </w:tcMar>
            <w:vAlign w:val="center"/>
          </w:tcPr>
          <w:p w14:paraId="56087F0D"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742" w:type="dxa"/>
            <w:shd w:val="clear" w:color="auto" w:fill="auto"/>
            <w:tcMar>
              <w:top w:w="0" w:type="dxa"/>
              <w:bottom w:w="0" w:type="dxa"/>
            </w:tcMar>
            <w:vAlign w:val="center"/>
          </w:tcPr>
          <w:p w14:paraId="1EFF0212"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Monthly Salary</w:t>
            </w:r>
          </w:p>
        </w:tc>
        <w:tc>
          <w:tcPr>
            <w:tcW w:w="1612" w:type="dxa"/>
            <w:shd w:val="clear" w:color="auto" w:fill="auto"/>
            <w:tcMar>
              <w:top w:w="0" w:type="dxa"/>
              <w:bottom w:w="0" w:type="dxa"/>
            </w:tcMar>
            <w:vAlign w:val="center"/>
          </w:tcPr>
          <w:p w14:paraId="37FF390B"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Monthly Remuneration</w:t>
            </w:r>
          </w:p>
        </w:tc>
        <w:tc>
          <w:tcPr>
            <w:tcW w:w="1165" w:type="dxa"/>
            <w:shd w:val="clear" w:color="auto" w:fill="auto"/>
            <w:tcMar>
              <w:top w:w="0" w:type="dxa"/>
              <w:bottom w:w="0" w:type="dxa"/>
            </w:tcMar>
            <w:vAlign w:val="center"/>
          </w:tcPr>
          <w:p w14:paraId="553C1FEE"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Notes</w:t>
            </w:r>
          </w:p>
        </w:tc>
      </w:tr>
      <w:tr w:rsidR="009C5F29" w14:paraId="5C5AC627" w14:textId="77777777">
        <w:tc>
          <w:tcPr>
            <w:tcW w:w="635" w:type="dxa"/>
            <w:shd w:val="clear" w:color="auto" w:fill="auto"/>
            <w:tcMar>
              <w:top w:w="0" w:type="dxa"/>
              <w:bottom w:w="0" w:type="dxa"/>
            </w:tcMar>
            <w:vAlign w:val="center"/>
          </w:tcPr>
          <w:p w14:paraId="20089F68"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863" w:type="dxa"/>
            <w:shd w:val="clear" w:color="auto" w:fill="auto"/>
            <w:tcMar>
              <w:top w:w="0" w:type="dxa"/>
              <w:bottom w:w="0" w:type="dxa"/>
            </w:tcMar>
            <w:vAlign w:val="center"/>
          </w:tcPr>
          <w:p w14:paraId="05D80B5D"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42" w:type="dxa"/>
            <w:shd w:val="clear" w:color="auto" w:fill="auto"/>
            <w:tcMar>
              <w:top w:w="0" w:type="dxa"/>
              <w:bottom w:w="0" w:type="dxa"/>
            </w:tcMar>
            <w:vAlign w:val="center"/>
          </w:tcPr>
          <w:p w14:paraId="4C389333"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52,000,000</w:t>
            </w:r>
          </w:p>
        </w:tc>
        <w:tc>
          <w:tcPr>
            <w:tcW w:w="1612" w:type="dxa"/>
            <w:shd w:val="clear" w:color="auto" w:fill="auto"/>
            <w:tcMar>
              <w:top w:w="0" w:type="dxa"/>
              <w:bottom w:w="0" w:type="dxa"/>
            </w:tcMar>
            <w:vAlign w:val="center"/>
          </w:tcPr>
          <w:p w14:paraId="3173F002"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15,000,000</w:t>
            </w:r>
          </w:p>
        </w:tc>
        <w:tc>
          <w:tcPr>
            <w:tcW w:w="1165" w:type="dxa"/>
            <w:shd w:val="clear" w:color="auto" w:fill="auto"/>
            <w:tcMar>
              <w:top w:w="0" w:type="dxa"/>
              <w:bottom w:w="0" w:type="dxa"/>
            </w:tcMar>
            <w:vAlign w:val="center"/>
          </w:tcPr>
          <w:p w14:paraId="47CB4675" w14:textId="77777777" w:rsidR="009C5F29" w:rsidRDefault="009C5F29">
            <w:pPr>
              <w:spacing w:after="120" w:line="360" w:lineRule="auto"/>
              <w:rPr>
                <w:rFonts w:ascii="Arial" w:eastAsia="Arial" w:hAnsi="Arial" w:cs="Arial"/>
                <w:color w:val="010000"/>
                <w:sz w:val="20"/>
                <w:szCs w:val="20"/>
              </w:rPr>
            </w:pPr>
          </w:p>
        </w:tc>
      </w:tr>
      <w:tr w:rsidR="009C5F29" w14:paraId="74AACBD5" w14:textId="77777777">
        <w:tc>
          <w:tcPr>
            <w:tcW w:w="635" w:type="dxa"/>
            <w:shd w:val="clear" w:color="auto" w:fill="auto"/>
            <w:tcMar>
              <w:top w:w="0" w:type="dxa"/>
              <w:bottom w:w="0" w:type="dxa"/>
            </w:tcMar>
            <w:vAlign w:val="center"/>
          </w:tcPr>
          <w:p w14:paraId="2170A33B"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863" w:type="dxa"/>
            <w:shd w:val="clear" w:color="auto" w:fill="auto"/>
            <w:tcMar>
              <w:top w:w="0" w:type="dxa"/>
              <w:bottom w:w="0" w:type="dxa"/>
            </w:tcMar>
            <w:vAlign w:val="center"/>
          </w:tcPr>
          <w:p w14:paraId="7932D8D6"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42" w:type="dxa"/>
            <w:shd w:val="clear" w:color="auto" w:fill="auto"/>
            <w:tcMar>
              <w:top w:w="0" w:type="dxa"/>
              <w:bottom w:w="0" w:type="dxa"/>
            </w:tcMar>
            <w:vAlign w:val="center"/>
          </w:tcPr>
          <w:p w14:paraId="2EB571BE"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37,000,000</w:t>
            </w:r>
          </w:p>
        </w:tc>
        <w:tc>
          <w:tcPr>
            <w:tcW w:w="1612" w:type="dxa"/>
            <w:shd w:val="clear" w:color="auto" w:fill="auto"/>
            <w:tcMar>
              <w:top w:w="0" w:type="dxa"/>
              <w:bottom w:w="0" w:type="dxa"/>
            </w:tcMar>
            <w:vAlign w:val="center"/>
          </w:tcPr>
          <w:p w14:paraId="01D9645D"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5,000,000</w:t>
            </w:r>
          </w:p>
        </w:tc>
        <w:tc>
          <w:tcPr>
            <w:tcW w:w="1165" w:type="dxa"/>
            <w:shd w:val="clear" w:color="auto" w:fill="auto"/>
            <w:tcMar>
              <w:top w:w="0" w:type="dxa"/>
              <w:bottom w:w="0" w:type="dxa"/>
            </w:tcMar>
            <w:vAlign w:val="center"/>
          </w:tcPr>
          <w:p w14:paraId="0BEBEB33" w14:textId="77777777" w:rsidR="009C5F29" w:rsidRDefault="009C5F29">
            <w:pPr>
              <w:spacing w:after="120" w:line="360" w:lineRule="auto"/>
              <w:rPr>
                <w:rFonts w:ascii="Arial" w:eastAsia="Arial" w:hAnsi="Arial" w:cs="Arial"/>
                <w:color w:val="010000"/>
                <w:sz w:val="20"/>
                <w:szCs w:val="20"/>
              </w:rPr>
            </w:pPr>
          </w:p>
        </w:tc>
      </w:tr>
      <w:tr w:rsidR="009C5F29" w14:paraId="5AF75CCD" w14:textId="77777777">
        <w:tc>
          <w:tcPr>
            <w:tcW w:w="635" w:type="dxa"/>
            <w:shd w:val="clear" w:color="auto" w:fill="auto"/>
            <w:tcMar>
              <w:top w:w="0" w:type="dxa"/>
              <w:bottom w:w="0" w:type="dxa"/>
            </w:tcMar>
            <w:vAlign w:val="center"/>
          </w:tcPr>
          <w:p w14:paraId="575AA613"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863" w:type="dxa"/>
            <w:shd w:val="clear" w:color="auto" w:fill="auto"/>
            <w:tcMar>
              <w:top w:w="0" w:type="dxa"/>
              <w:bottom w:w="0" w:type="dxa"/>
            </w:tcMar>
            <w:vAlign w:val="center"/>
          </w:tcPr>
          <w:p w14:paraId="4BA2139F"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42" w:type="dxa"/>
            <w:shd w:val="clear" w:color="auto" w:fill="auto"/>
            <w:tcMar>
              <w:top w:w="0" w:type="dxa"/>
              <w:bottom w:w="0" w:type="dxa"/>
            </w:tcMar>
            <w:vAlign w:val="center"/>
          </w:tcPr>
          <w:p w14:paraId="23D7AA1B"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22,000,000</w:t>
            </w:r>
          </w:p>
        </w:tc>
        <w:tc>
          <w:tcPr>
            <w:tcW w:w="1612" w:type="dxa"/>
            <w:shd w:val="clear" w:color="auto" w:fill="auto"/>
            <w:tcMar>
              <w:top w:w="0" w:type="dxa"/>
              <w:bottom w:w="0" w:type="dxa"/>
            </w:tcMar>
            <w:vAlign w:val="center"/>
          </w:tcPr>
          <w:p w14:paraId="23A5A481"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2,500,000</w:t>
            </w:r>
          </w:p>
        </w:tc>
        <w:tc>
          <w:tcPr>
            <w:tcW w:w="1165" w:type="dxa"/>
            <w:shd w:val="clear" w:color="auto" w:fill="auto"/>
            <w:tcMar>
              <w:top w:w="0" w:type="dxa"/>
              <w:bottom w:w="0" w:type="dxa"/>
            </w:tcMar>
            <w:vAlign w:val="center"/>
          </w:tcPr>
          <w:p w14:paraId="24A4A269" w14:textId="77777777" w:rsidR="009C5F29" w:rsidRDefault="009C5F29">
            <w:pPr>
              <w:spacing w:after="120" w:line="360" w:lineRule="auto"/>
              <w:rPr>
                <w:rFonts w:ascii="Arial" w:eastAsia="Arial" w:hAnsi="Arial" w:cs="Arial"/>
                <w:color w:val="010000"/>
                <w:sz w:val="20"/>
                <w:szCs w:val="20"/>
              </w:rPr>
            </w:pPr>
          </w:p>
        </w:tc>
      </w:tr>
      <w:tr w:rsidR="009C5F29" w14:paraId="02259078" w14:textId="77777777">
        <w:tc>
          <w:tcPr>
            <w:tcW w:w="635" w:type="dxa"/>
            <w:shd w:val="clear" w:color="auto" w:fill="auto"/>
            <w:tcMar>
              <w:top w:w="0" w:type="dxa"/>
              <w:bottom w:w="0" w:type="dxa"/>
            </w:tcMar>
            <w:vAlign w:val="center"/>
          </w:tcPr>
          <w:p w14:paraId="5EB00953"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863" w:type="dxa"/>
            <w:shd w:val="clear" w:color="auto" w:fill="auto"/>
            <w:tcMar>
              <w:top w:w="0" w:type="dxa"/>
              <w:bottom w:w="0" w:type="dxa"/>
            </w:tcMar>
            <w:vAlign w:val="center"/>
          </w:tcPr>
          <w:p w14:paraId="2262A1BA"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742" w:type="dxa"/>
            <w:shd w:val="clear" w:color="auto" w:fill="auto"/>
            <w:tcMar>
              <w:top w:w="0" w:type="dxa"/>
              <w:bottom w:w="0" w:type="dxa"/>
            </w:tcMar>
            <w:vAlign w:val="center"/>
          </w:tcPr>
          <w:p w14:paraId="3CE3179D"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12,000,000</w:t>
            </w:r>
          </w:p>
        </w:tc>
        <w:tc>
          <w:tcPr>
            <w:tcW w:w="1612" w:type="dxa"/>
            <w:shd w:val="clear" w:color="auto" w:fill="auto"/>
            <w:tcMar>
              <w:top w:w="0" w:type="dxa"/>
              <w:bottom w:w="0" w:type="dxa"/>
            </w:tcMar>
            <w:vAlign w:val="center"/>
          </w:tcPr>
          <w:p w14:paraId="6F0DC0F7"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c>
          <w:tcPr>
            <w:tcW w:w="1165" w:type="dxa"/>
            <w:shd w:val="clear" w:color="auto" w:fill="auto"/>
            <w:tcMar>
              <w:top w:w="0" w:type="dxa"/>
              <w:bottom w:w="0" w:type="dxa"/>
            </w:tcMar>
            <w:vAlign w:val="center"/>
          </w:tcPr>
          <w:p w14:paraId="7DB0C940" w14:textId="77777777" w:rsidR="009C5F29" w:rsidRDefault="009C5F29">
            <w:pPr>
              <w:spacing w:after="120" w:line="360" w:lineRule="auto"/>
              <w:rPr>
                <w:rFonts w:ascii="Arial" w:eastAsia="Arial" w:hAnsi="Arial" w:cs="Arial"/>
                <w:color w:val="010000"/>
                <w:sz w:val="20"/>
                <w:szCs w:val="20"/>
              </w:rPr>
            </w:pPr>
          </w:p>
        </w:tc>
      </w:tr>
      <w:tr w:rsidR="009C5F29" w14:paraId="7C203837" w14:textId="77777777">
        <w:tc>
          <w:tcPr>
            <w:tcW w:w="635" w:type="dxa"/>
            <w:shd w:val="clear" w:color="auto" w:fill="auto"/>
            <w:tcMar>
              <w:top w:w="0" w:type="dxa"/>
              <w:bottom w:w="0" w:type="dxa"/>
            </w:tcMar>
            <w:vAlign w:val="center"/>
          </w:tcPr>
          <w:p w14:paraId="7623F494"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863" w:type="dxa"/>
            <w:shd w:val="clear" w:color="auto" w:fill="auto"/>
            <w:tcMar>
              <w:top w:w="0" w:type="dxa"/>
              <w:bottom w:w="0" w:type="dxa"/>
            </w:tcMar>
            <w:vAlign w:val="center"/>
          </w:tcPr>
          <w:p w14:paraId="5C6AB951"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 in charge of Internal Audit</w:t>
            </w:r>
          </w:p>
        </w:tc>
        <w:tc>
          <w:tcPr>
            <w:tcW w:w="1742" w:type="dxa"/>
            <w:shd w:val="clear" w:color="auto" w:fill="auto"/>
            <w:tcMar>
              <w:top w:w="0" w:type="dxa"/>
              <w:bottom w:w="0" w:type="dxa"/>
            </w:tcMar>
            <w:vAlign w:val="center"/>
          </w:tcPr>
          <w:p w14:paraId="05544A65"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15,000,000</w:t>
            </w:r>
          </w:p>
        </w:tc>
        <w:tc>
          <w:tcPr>
            <w:tcW w:w="1612" w:type="dxa"/>
            <w:shd w:val="clear" w:color="auto" w:fill="auto"/>
            <w:tcMar>
              <w:top w:w="0" w:type="dxa"/>
              <w:bottom w:w="0" w:type="dxa"/>
            </w:tcMar>
            <w:vAlign w:val="center"/>
          </w:tcPr>
          <w:p w14:paraId="0DB6C2BC"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c>
          <w:tcPr>
            <w:tcW w:w="1165" w:type="dxa"/>
            <w:shd w:val="clear" w:color="auto" w:fill="auto"/>
            <w:tcMar>
              <w:top w:w="0" w:type="dxa"/>
              <w:bottom w:w="0" w:type="dxa"/>
            </w:tcMar>
            <w:vAlign w:val="center"/>
          </w:tcPr>
          <w:p w14:paraId="3759690F" w14:textId="77777777" w:rsidR="009C5F29" w:rsidRDefault="009C5F29">
            <w:pPr>
              <w:spacing w:after="120" w:line="360" w:lineRule="auto"/>
              <w:rPr>
                <w:rFonts w:ascii="Arial" w:eastAsia="Arial" w:hAnsi="Arial" w:cs="Arial"/>
                <w:color w:val="010000"/>
                <w:sz w:val="20"/>
                <w:szCs w:val="20"/>
              </w:rPr>
            </w:pPr>
          </w:p>
        </w:tc>
      </w:tr>
      <w:tr w:rsidR="009C5F29" w14:paraId="6A639888" w14:textId="77777777">
        <w:tc>
          <w:tcPr>
            <w:tcW w:w="635" w:type="dxa"/>
            <w:shd w:val="clear" w:color="auto" w:fill="auto"/>
            <w:tcMar>
              <w:top w:w="0" w:type="dxa"/>
              <w:bottom w:w="0" w:type="dxa"/>
            </w:tcMar>
            <w:vAlign w:val="center"/>
          </w:tcPr>
          <w:p w14:paraId="7B199907"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863" w:type="dxa"/>
            <w:shd w:val="clear" w:color="auto" w:fill="auto"/>
            <w:tcMar>
              <w:top w:w="0" w:type="dxa"/>
              <w:bottom w:w="0" w:type="dxa"/>
            </w:tcMar>
            <w:vAlign w:val="center"/>
          </w:tcPr>
          <w:p w14:paraId="201095E9"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charge of corporate governance-cum-Company Secretariat:</w:t>
            </w:r>
          </w:p>
        </w:tc>
        <w:tc>
          <w:tcPr>
            <w:tcW w:w="1742" w:type="dxa"/>
            <w:shd w:val="clear" w:color="auto" w:fill="auto"/>
            <w:tcMar>
              <w:top w:w="0" w:type="dxa"/>
              <w:bottom w:w="0" w:type="dxa"/>
            </w:tcMar>
            <w:vAlign w:val="center"/>
          </w:tcPr>
          <w:p w14:paraId="3753C291"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12,000,000</w:t>
            </w:r>
          </w:p>
        </w:tc>
        <w:tc>
          <w:tcPr>
            <w:tcW w:w="1612" w:type="dxa"/>
            <w:shd w:val="clear" w:color="auto" w:fill="auto"/>
            <w:tcMar>
              <w:top w:w="0" w:type="dxa"/>
              <w:bottom w:w="0" w:type="dxa"/>
            </w:tcMar>
            <w:vAlign w:val="center"/>
          </w:tcPr>
          <w:p w14:paraId="235C13FD"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c>
          <w:tcPr>
            <w:tcW w:w="1165" w:type="dxa"/>
            <w:shd w:val="clear" w:color="auto" w:fill="auto"/>
            <w:tcMar>
              <w:top w:w="0" w:type="dxa"/>
              <w:bottom w:w="0" w:type="dxa"/>
            </w:tcMar>
            <w:vAlign w:val="center"/>
          </w:tcPr>
          <w:p w14:paraId="1E778630" w14:textId="77777777" w:rsidR="009C5F29" w:rsidRDefault="009C5F29">
            <w:pPr>
              <w:spacing w:after="120" w:line="360" w:lineRule="auto"/>
              <w:rPr>
                <w:rFonts w:ascii="Arial" w:eastAsia="Arial" w:hAnsi="Arial" w:cs="Arial"/>
                <w:color w:val="010000"/>
                <w:sz w:val="20"/>
                <w:szCs w:val="20"/>
              </w:rPr>
            </w:pPr>
          </w:p>
        </w:tc>
      </w:tr>
      <w:tr w:rsidR="009C5F29" w14:paraId="5190CCAE" w14:textId="77777777">
        <w:tc>
          <w:tcPr>
            <w:tcW w:w="635" w:type="dxa"/>
            <w:shd w:val="clear" w:color="auto" w:fill="auto"/>
            <w:tcMar>
              <w:top w:w="0" w:type="dxa"/>
              <w:bottom w:w="0" w:type="dxa"/>
            </w:tcMar>
            <w:vAlign w:val="center"/>
          </w:tcPr>
          <w:p w14:paraId="09DF82FC"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863" w:type="dxa"/>
            <w:shd w:val="clear" w:color="auto" w:fill="auto"/>
            <w:tcMar>
              <w:top w:w="0" w:type="dxa"/>
              <w:bottom w:w="0" w:type="dxa"/>
            </w:tcMar>
            <w:vAlign w:val="center"/>
          </w:tcPr>
          <w:p w14:paraId="5EB0AE66"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 in charge of information disclosure</w:t>
            </w:r>
          </w:p>
        </w:tc>
        <w:tc>
          <w:tcPr>
            <w:tcW w:w="1742" w:type="dxa"/>
            <w:shd w:val="clear" w:color="auto" w:fill="auto"/>
            <w:tcMar>
              <w:top w:w="0" w:type="dxa"/>
              <w:bottom w:w="0" w:type="dxa"/>
            </w:tcMar>
            <w:vAlign w:val="center"/>
          </w:tcPr>
          <w:p w14:paraId="3B1F6961"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12,000,000</w:t>
            </w:r>
          </w:p>
        </w:tc>
        <w:tc>
          <w:tcPr>
            <w:tcW w:w="1612" w:type="dxa"/>
            <w:shd w:val="clear" w:color="auto" w:fill="auto"/>
            <w:tcMar>
              <w:top w:w="0" w:type="dxa"/>
              <w:bottom w:w="0" w:type="dxa"/>
            </w:tcMar>
            <w:vAlign w:val="center"/>
          </w:tcPr>
          <w:p w14:paraId="3F1A7E69"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c>
          <w:tcPr>
            <w:tcW w:w="1165" w:type="dxa"/>
            <w:shd w:val="clear" w:color="auto" w:fill="auto"/>
            <w:tcMar>
              <w:top w:w="0" w:type="dxa"/>
              <w:bottom w:w="0" w:type="dxa"/>
            </w:tcMar>
            <w:vAlign w:val="center"/>
          </w:tcPr>
          <w:p w14:paraId="7670699E" w14:textId="77777777" w:rsidR="009C5F29" w:rsidRDefault="009C5F29">
            <w:pPr>
              <w:spacing w:after="120" w:line="360" w:lineRule="auto"/>
              <w:rPr>
                <w:rFonts w:ascii="Arial" w:eastAsia="Arial" w:hAnsi="Arial" w:cs="Arial"/>
                <w:color w:val="010000"/>
                <w:sz w:val="20"/>
                <w:szCs w:val="20"/>
              </w:rPr>
            </w:pPr>
          </w:p>
        </w:tc>
      </w:tr>
    </w:tbl>
    <w:p w14:paraId="3B0919D6" w14:textId="77777777" w:rsidR="009C5F29" w:rsidRDefault="00AF27D7">
      <w:pPr>
        <w:numPr>
          <w:ilvl w:val="0"/>
          <w:numId w:val="2"/>
        </w:numPr>
        <w:pBdr>
          <w:top w:val="nil"/>
          <w:left w:val="nil"/>
          <w:bottom w:val="nil"/>
          <w:right w:val="nil"/>
          <w:between w:val="nil"/>
        </w:pBdr>
        <w:tabs>
          <w:tab w:val="left" w:pos="432"/>
          <w:tab w:val="left" w:pos="1049"/>
        </w:tabs>
        <w:spacing w:after="120" w:line="360" w:lineRule="auto"/>
        <w:rPr>
          <w:rFonts w:ascii="Arial" w:eastAsia="Arial" w:hAnsi="Arial" w:cs="Arial"/>
          <w:color w:val="010000"/>
          <w:sz w:val="20"/>
          <w:szCs w:val="20"/>
        </w:rPr>
      </w:pPr>
      <w:r>
        <w:rPr>
          <w:rFonts w:ascii="Arial" w:hAnsi="Arial"/>
          <w:color w:val="010000"/>
          <w:sz w:val="20"/>
        </w:rPr>
        <w:t>Authorize the Board of Directors</w:t>
      </w:r>
    </w:p>
    <w:p w14:paraId="6730EC6C" w14:textId="77777777" w:rsidR="009C5F29" w:rsidRDefault="00AF27D7">
      <w:pPr>
        <w:numPr>
          <w:ilvl w:val="1"/>
          <w:numId w:val="2"/>
        </w:numPr>
        <w:pBdr>
          <w:top w:val="nil"/>
          <w:left w:val="nil"/>
          <w:bottom w:val="nil"/>
          <w:right w:val="nil"/>
          <w:between w:val="nil"/>
        </w:pBdr>
        <w:tabs>
          <w:tab w:val="left" w:pos="432"/>
          <w:tab w:val="left" w:pos="1206"/>
        </w:tabs>
        <w:spacing w:after="120" w:line="360" w:lineRule="auto"/>
        <w:rPr>
          <w:rFonts w:ascii="Arial" w:eastAsia="Arial" w:hAnsi="Arial" w:cs="Arial"/>
          <w:color w:val="010000"/>
          <w:sz w:val="20"/>
          <w:szCs w:val="20"/>
        </w:rPr>
      </w:pPr>
      <w:r>
        <w:rPr>
          <w:rFonts w:ascii="Arial" w:hAnsi="Arial"/>
          <w:color w:val="010000"/>
          <w:sz w:val="20"/>
        </w:rPr>
        <w:t>Accept transactions with a value of less than 35% of the total assets recorded in the latest Financial Statements with affiliated persons:</w:t>
      </w:r>
    </w:p>
    <w:p w14:paraId="5AEAE897" w14:textId="77777777" w:rsidR="009C5F29" w:rsidRDefault="00AF27D7">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Organizations and individuals related to the Company include: An </w:t>
      </w:r>
      <w:proofErr w:type="spellStart"/>
      <w:r>
        <w:rPr>
          <w:rFonts w:ascii="Arial" w:hAnsi="Arial"/>
          <w:color w:val="010000"/>
          <w:sz w:val="20"/>
        </w:rPr>
        <w:t>Pha</w:t>
      </w:r>
      <w:proofErr w:type="spellEnd"/>
      <w:r>
        <w:rPr>
          <w:rFonts w:ascii="Arial" w:hAnsi="Arial"/>
          <w:color w:val="010000"/>
          <w:sz w:val="20"/>
        </w:rPr>
        <w:t xml:space="preserve"> Hydropower Investment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Nam Asset Management and Exploitation </w:t>
      </w:r>
      <w:proofErr w:type="spellStart"/>
      <w:r>
        <w:rPr>
          <w:rFonts w:ascii="Arial" w:hAnsi="Arial"/>
          <w:color w:val="010000"/>
          <w:sz w:val="20"/>
        </w:rPr>
        <w:t>JSC</w:t>
      </w:r>
      <w:proofErr w:type="spellEnd"/>
      <w:r>
        <w:rPr>
          <w:rFonts w:ascii="Arial" w:hAnsi="Arial"/>
          <w:color w:val="010000"/>
          <w:sz w:val="20"/>
        </w:rPr>
        <w:t xml:space="preserve">; Van Lam Mechanical </w:t>
      </w:r>
      <w:proofErr w:type="spellStart"/>
      <w:r>
        <w:rPr>
          <w:rFonts w:ascii="Arial" w:hAnsi="Arial"/>
          <w:color w:val="010000"/>
          <w:sz w:val="20"/>
        </w:rPr>
        <w:t>JSC</w:t>
      </w:r>
      <w:proofErr w:type="spellEnd"/>
      <w:r>
        <w:rPr>
          <w:rFonts w:ascii="Arial" w:hAnsi="Arial"/>
          <w:color w:val="010000"/>
          <w:sz w:val="20"/>
        </w:rPr>
        <w:t xml:space="preserve">; MCG Construction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Long Renewable Energy </w:t>
      </w:r>
      <w:proofErr w:type="spellStart"/>
      <w:r>
        <w:rPr>
          <w:rFonts w:ascii="Arial" w:hAnsi="Arial"/>
          <w:color w:val="010000"/>
          <w:sz w:val="20"/>
        </w:rPr>
        <w:t>JSC</w:t>
      </w:r>
      <w:proofErr w:type="spellEnd"/>
      <w:r>
        <w:rPr>
          <w:rFonts w:ascii="Arial" w:hAnsi="Arial"/>
          <w:color w:val="010000"/>
          <w:sz w:val="20"/>
        </w:rPr>
        <w:t xml:space="preserve">; Mechanical and Electrical Equipment and Spare Parts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Kho Hydropower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Meco</w:t>
      </w:r>
      <w:proofErr w:type="spellEnd"/>
      <w:r>
        <w:rPr>
          <w:rFonts w:ascii="Arial" w:hAnsi="Arial"/>
          <w:color w:val="010000"/>
          <w:sz w:val="20"/>
        </w:rPr>
        <w:t xml:space="preserve"> Electricity Investment and Development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Meco</w:t>
      </w:r>
      <w:proofErr w:type="spellEnd"/>
      <w:r>
        <w:rPr>
          <w:rFonts w:ascii="Arial" w:hAnsi="Arial"/>
          <w:color w:val="010000"/>
          <w:sz w:val="20"/>
        </w:rPr>
        <w:t xml:space="preserve"> Saigon Irrigation Construction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MECO</w:t>
      </w:r>
      <w:proofErr w:type="spellEnd"/>
      <w:r>
        <w:rPr>
          <w:rFonts w:ascii="Arial" w:hAnsi="Arial"/>
          <w:color w:val="010000"/>
          <w:sz w:val="20"/>
        </w:rPr>
        <w:t xml:space="preserve"> Mineral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Mechanical and Electrical Construction </w:t>
      </w:r>
      <w:proofErr w:type="spellStart"/>
      <w:r>
        <w:rPr>
          <w:rFonts w:ascii="Arial" w:hAnsi="Arial"/>
          <w:color w:val="010000"/>
          <w:sz w:val="20"/>
        </w:rPr>
        <w:t>JSC</w:t>
      </w:r>
      <w:proofErr w:type="spellEnd"/>
      <w:r>
        <w:rPr>
          <w:rFonts w:ascii="Arial" w:hAnsi="Arial"/>
          <w:color w:val="010000"/>
          <w:sz w:val="20"/>
        </w:rPr>
        <w:t xml:space="preserve">; BP Construction Investment and Consulting </w:t>
      </w:r>
      <w:proofErr w:type="spellStart"/>
      <w:r>
        <w:rPr>
          <w:rFonts w:ascii="Arial" w:hAnsi="Arial"/>
          <w:color w:val="010000"/>
          <w:sz w:val="20"/>
        </w:rPr>
        <w:t>JSC</w:t>
      </w:r>
      <w:proofErr w:type="spellEnd"/>
      <w:r>
        <w:rPr>
          <w:rFonts w:ascii="Arial" w:hAnsi="Arial"/>
          <w:color w:val="010000"/>
          <w:sz w:val="20"/>
        </w:rPr>
        <w:t xml:space="preserve">; Yen </w:t>
      </w:r>
      <w:proofErr w:type="spellStart"/>
      <w:r>
        <w:rPr>
          <w:rFonts w:ascii="Arial" w:hAnsi="Arial"/>
          <w:color w:val="010000"/>
          <w:sz w:val="20"/>
        </w:rPr>
        <w:t>Bai</w:t>
      </w:r>
      <w:proofErr w:type="spellEnd"/>
      <w:r>
        <w:rPr>
          <w:rFonts w:ascii="Arial" w:hAnsi="Arial"/>
          <w:color w:val="010000"/>
          <w:sz w:val="20"/>
        </w:rPr>
        <w:t xml:space="preserve"> Artificial Board </w:t>
      </w:r>
      <w:proofErr w:type="spellStart"/>
      <w:r>
        <w:rPr>
          <w:rFonts w:ascii="Arial" w:hAnsi="Arial"/>
          <w:color w:val="010000"/>
          <w:sz w:val="20"/>
        </w:rPr>
        <w:t>JSC</w:t>
      </w:r>
      <w:proofErr w:type="spellEnd"/>
      <w:r>
        <w:rPr>
          <w:rFonts w:ascii="Arial" w:hAnsi="Arial"/>
          <w:color w:val="010000"/>
          <w:sz w:val="20"/>
        </w:rPr>
        <w:t xml:space="preserve">; Ha </w:t>
      </w:r>
      <w:proofErr w:type="spellStart"/>
      <w:r>
        <w:rPr>
          <w:rFonts w:ascii="Arial" w:hAnsi="Arial"/>
          <w:color w:val="010000"/>
          <w:sz w:val="20"/>
        </w:rPr>
        <w:t>Tinh</w:t>
      </w:r>
      <w:proofErr w:type="spellEnd"/>
      <w:r>
        <w:rPr>
          <w:rFonts w:ascii="Arial" w:hAnsi="Arial"/>
          <w:color w:val="010000"/>
          <w:sz w:val="20"/>
        </w:rPr>
        <w:t xml:space="preserve"> Industrial Park Investment and Development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HTC</w:t>
      </w:r>
      <w:proofErr w:type="spellEnd"/>
      <w:r>
        <w:rPr>
          <w:rFonts w:ascii="Arial" w:hAnsi="Arial"/>
          <w:color w:val="010000"/>
          <w:sz w:val="20"/>
        </w:rPr>
        <w:t xml:space="preserve"> Global </w:t>
      </w:r>
      <w:proofErr w:type="spellStart"/>
      <w:r>
        <w:rPr>
          <w:rFonts w:ascii="Arial" w:hAnsi="Arial"/>
          <w:color w:val="010000"/>
          <w:sz w:val="20"/>
        </w:rPr>
        <w:t>JSC</w:t>
      </w:r>
      <w:proofErr w:type="spellEnd"/>
      <w:r>
        <w:rPr>
          <w:rFonts w:ascii="Arial" w:hAnsi="Arial"/>
          <w:color w:val="010000"/>
          <w:sz w:val="20"/>
        </w:rPr>
        <w:t xml:space="preserve">; Long Giang Glass Co., Ltd; Long Giang Hung Yen Glass Co., Ltd; Linh Vietnam Investment Co., Ltd. My Hung Renewable Energy </w:t>
      </w:r>
      <w:proofErr w:type="spellStart"/>
      <w:r>
        <w:rPr>
          <w:rFonts w:ascii="Arial" w:hAnsi="Arial"/>
          <w:color w:val="010000"/>
          <w:sz w:val="20"/>
        </w:rPr>
        <w:t>JSC</w:t>
      </w:r>
      <w:proofErr w:type="spellEnd"/>
      <w:r>
        <w:rPr>
          <w:rFonts w:ascii="Arial" w:hAnsi="Arial"/>
          <w:color w:val="010000"/>
          <w:sz w:val="20"/>
        </w:rPr>
        <w:t xml:space="preserve">; Tien Thanh Development Investment </w:t>
      </w:r>
      <w:proofErr w:type="spellStart"/>
      <w:r>
        <w:rPr>
          <w:rFonts w:ascii="Arial" w:hAnsi="Arial"/>
          <w:color w:val="010000"/>
          <w:sz w:val="20"/>
        </w:rPr>
        <w:t>JSC</w:t>
      </w:r>
      <w:proofErr w:type="spellEnd"/>
      <w:r>
        <w:rPr>
          <w:rFonts w:ascii="Arial" w:hAnsi="Arial"/>
          <w:color w:val="010000"/>
          <w:sz w:val="20"/>
        </w:rPr>
        <w:t xml:space="preserve">; </w:t>
      </w:r>
      <w:proofErr w:type="spellStart"/>
      <w:r>
        <w:rPr>
          <w:rFonts w:ascii="Arial" w:hAnsi="Arial"/>
          <w:color w:val="010000"/>
          <w:sz w:val="20"/>
        </w:rPr>
        <w:t>LTM</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Entertainment Service Investment and Business </w:t>
      </w:r>
      <w:proofErr w:type="spellStart"/>
      <w:r>
        <w:rPr>
          <w:rFonts w:ascii="Arial" w:hAnsi="Arial"/>
          <w:color w:val="010000"/>
          <w:sz w:val="20"/>
        </w:rPr>
        <w:t>JSC</w:t>
      </w:r>
      <w:proofErr w:type="spellEnd"/>
      <w:r>
        <w:rPr>
          <w:rFonts w:ascii="Arial" w:hAnsi="Arial"/>
          <w:color w:val="010000"/>
          <w:sz w:val="20"/>
        </w:rPr>
        <w:t>.</w:t>
      </w:r>
    </w:p>
    <w:p w14:paraId="00E9BE47" w14:textId="77777777" w:rsidR="009C5F29" w:rsidRDefault="00AF27D7">
      <w:pPr>
        <w:numPr>
          <w:ilvl w:val="0"/>
          <w:numId w:val="3"/>
        </w:numPr>
        <w:pBdr>
          <w:top w:val="nil"/>
          <w:left w:val="nil"/>
          <w:bottom w:val="nil"/>
          <w:right w:val="nil"/>
          <w:between w:val="nil"/>
        </w:pBdr>
        <w:tabs>
          <w:tab w:val="left" w:pos="432"/>
          <w:tab w:val="left" w:pos="985"/>
        </w:tabs>
        <w:spacing w:after="120" w:line="360" w:lineRule="auto"/>
        <w:rPr>
          <w:rFonts w:ascii="Arial" w:eastAsia="Arial" w:hAnsi="Arial" w:cs="Arial"/>
          <w:color w:val="010000"/>
          <w:sz w:val="20"/>
          <w:szCs w:val="20"/>
        </w:rPr>
      </w:pPr>
      <w:r>
        <w:rPr>
          <w:rFonts w:ascii="Arial" w:hAnsi="Arial"/>
          <w:color w:val="010000"/>
          <w:sz w:val="20"/>
        </w:rPr>
        <w:t xml:space="preserve">Accept transactions with individuals and organizations who are </w:t>
      </w:r>
      <w:proofErr w:type="spellStart"/>
      <w:r>
        <w:rPr>
          <w:rFonts w:ascii="Arial" w:hAnsi="Arial"/>
          <w:color w:val="010000"/>
          <w:sz w:val="20"/>
        </w:rPr>
        <w:t>PDMR</w:t>
      </w:r>
      <w:proofErr w:type="spellEnd"/>
      <w:r>
        <w:rPr>
          <w:rFonts w:ascii="Arial" w:hAnsi="Arial"/>
          <w:color w:val="010000"/>
          <w:sz w:val="20"/>
        </w:rPr>
        <w:t xml:space="preserve"> and affiliated persons of the Company's </w:t>
      </w:r>
      <w:proofErr w:type="spellStart"/>
      <w:r>
        <w:rPr>
          <w:rFonts w:ascii="Arial" w:hAnsi="Arial"/>
          <w:color w:val="010000"/>
          <w:sz w:val="20"/>
        </w:rPr>
        <w:t>PDMR</w:t>
      </w:r>
      <w:proofErr w:type="spellEnd"/>
      <w:r>
        <w:rPr>
          <w:rFonts w:ascii="Arial" w:hAnsi="Arial"/>
          <w:color w:val="010000"/>
          <w:sz w:val="20"/>
        </w:rPr>
        <w:t>.</w:t>
      </w:r>
    </w:p>
    <w:p w14:paraId="22355FF8" w14:textId="77777777" w:rsidR="009C5F29" w:rsidRDefault="00AF27D7">
      <w:pPr>
        <w:numPr>
          <w:ilvl w:val="0"/>
          <w:numId w:val="3"/>
        </w:numPr>
        <w:pBdr>
          <w:top w:val="nil"/>
          <w:left w:val="nil"/>
          <w:bottom w:val="nil"/>
          <w:right w:val="nil"/>
          <w:between w:val="nil"/>
        </w:pBdr>
        <w:tabs>
          <w:tab w:val="left" w:pos="432"/>
          <w:tab w:val="left" w:pos="968"/>
        </w:tabs>
        <w:spacing w:after="120" w:line="360" w:lineRule="auto"/>
        <w:rPr>
          <w:rFonts w:ascii="Arial" w:eastAsia="Arial" w:hAnsi="Arial" w:cs="Arial"/>
          <w:color w:val="010000"/>
          <w:sz w:val="20"/>
          <w:szCs w:val="20"/>
        </w:rPr>
      </w:pPr>
      <w:r>
        <w:rPr>
          <w:rFonts w:ascii="Arial" w:hAnsi="Arial"/>
          <w:color w:val="010000"/>
          <w:sz w:val="20"/>
        </w:rPr>
        <w:t>The content of the approved related contracts and transactions includes:</w:t>
      </w:r>
    </w:p>
    <w:p w14:paraId="74AF6D15" w14:textId="77777777" w:rsidR="009C5F29" w:rsidRDefault="00AF27D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Construction and installation;</w:t>
      </w:r>
    </w:p>
    <w:p w14:paraId="08F8A89E" w14:textId="77777777" w:rsidR="009C5F29" w:rsidRDefault="00AF27D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Trading of goods, shares, investment capital contribution; joint venture and association cooperation;</w:t>
      </w:r>
    </w:p>
    <w:p w14:paraId="46697982" w14:textId="77777777" w:rsidR="009C5F29" w:rsidRDefault="00AF27D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Borrowing, lending, guaranteeing and receiving guarantees;</w:t>
      </w:r>
    </w:p>
    <w:p w14:paraId="57674E56" w14:textId="77777777" w:rsidR="009C5F29" w:rsidRDefault="00AF27D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Payment, offsetting, and swapping of debts under the authority of the Board of Directors after being approved by the General Meeting of Shareholders.</w:t>
      </w:r>
    </w:p>
    <w:p w14:paraId="3135187A" w14:textId="77777777" w:rsidR="009C5F29" w:rsidRDefault="00AF27D7">
      <w:pPr>
        <w:numPr>
          <w:ilvl w:val="1"/>
          <w:numId w:val="2"/>
        </w:numPr>
        <w:pBdr>
          <w:top w:val="nil"/>
          <w:left w:val="nil"/>
          <w:bottom w:val="nil"/>
          <w:right w:val="nil"/>
          <w:between w:val="nil"/>
        </w:pBdr>
        <w:tabs>
          <w:tab w:val="left" w:pos="432"/>
          <w:tab w:val="left" w:pos="1262"/>
        </w:tabs>
        <w:spacing w:after="120" w:line="360" w:lineRule="auto"/>
        <w:rPr>
          <w:rFonts w:ascii="Arial" w:eastAsia="Arial" w:hAnsi="Arial" w:cs="Arial"/>
          <w:color w:val="010000"/>
          <w:sz w:val="20"/>
          <w:szCs w:val="20"/>
        </w:rPr>
      </w:pPr>
      <w:r>
        <w:rPr>
          <w:rFonts w:ascii="Arial" w:hAnsi="Arial"/>
          <w:color w:val="010000"/>
          <w:sz w:val="20"/>
        </w:rPr>
        <w:t>Select the timing to decide: Contributing capital, changing ownership rate, divesting capital in some subsidiaries and associates.</w:t>
      </w:r>
    </w:p>
    <w:p w14:paraId="5CF8D4FD" w14:textId="77777777" w:rsidR="009C5F29" w:rsidRDefault="00AF27D7">
      <w:pPr>
        <w:numPr>
          <w:ilvl w:val="1"/>
          <w:numId w:val="2"/>
        </w:numPr>
        <w:pBdr>
          <w:top w:val="nil"/>
          <w:left w:val="nil"/>
          <w:bottom w:val="nil"/>
          <w:right w:val="nil"/>
          <w:between w:val="nil"/>
        </w:pBdr>
        <w:tabs>
          <w:tab w:val="left" w:pos="432"/>
          <w:tab w:val="left" w:pos="1246"/>
        </w:tabs>
        <w:spacing w:after="120" w:line="360" w:lineRule="auto"/>
        <w:rPr>
          <w:rFonts w:ascii="Arial" w:eastAsia="Arial" w:hAnsi="Arial" w:cs="Arial"/>
          <w:color w:val="010000"/>
          <w:sz w:val="20"/>
          <w:szCs w:val="20"/>
        </w:rPr>
      </w:pPr>
      <w:r>
        <w:rPr>
          <w:rFonts w:ascii="Arial" w:hAnsi="Arial"/>
          <w:color w:val="010000"/>
          <w:sz w:val="20"/>
        </w:rPr>
        <w:t xml:space="preserve">Approving the swap of shareholders' debts at the Holding Company for shares in related companies owned by shareholders. </w:t>
      </w:r>
    </w:p>
    <w:p w14:paraId="510FD17D" w14:textId="77777777" w:rsidR="009C5F29" w:rsidRDefault="00AF27D7">
      <w:pPr>
        <w:numPr>
          <w:ilvl w:val="1"/>
          <w:numId w:val="2"/>
        </w:numPr>
        <w:tabs>
          <w:tab w:val="left" w:pos="432"/>
          <w:tab w:val="left" w:pos="1266"/>
          <w:tab w:val="right" w:pos="10259"/>
        </w:tabs>
        <w:spacing w:after="120" w:line="360" w:lineRule="auto"/>
        <w:rPr>
          <w:color w:val="010000"/>
        </w:rPr>
      </w:pPr>
      <w:r>
        <w:rPr>
          <w:rFonts w:ascii="Arial" w:hAnsi="Arial"/>
          <w:color w:val="010000"/>
          <w:sz w:val="20"/>
        </w:rPr>
        <w:t xml:space="preserve">Select the timing to sell treasury shares and investment shares not lower than the market price at the time of sale; sell the remaining assets of the Company at 102 Truong </w:t>
      </w:r>
      <w:proofErr w:type="spellStart"/>
      <w:r>
        <w:rPr>
          <w:rFonts w:ascii="Arial" w:hAnsi="Arial"/>
          <w:color w:val="010000"/>
          <w:sz w:val="20"/>
        </w:rPr>
        <w:t>Chinh</w:t>
      </w:r>
      <w:proofErr w:type="spellEnd"/>
      <w:r>
        <w:rPr>
          <w:rFonts w:ascii="Arial" w:hAnsi="Arial"/>
          <w:color w:val="010000"/>
          <w:sz w:val="20"/>
        </w:rPr>
        <w:t xml:space="preserve"> Project and liquidate other assets to pay debts; and mobilize capital from members of the Board of Directors, the Executive </w:t>
      </w:r>
      <w:r>
        <w:rPr>
          <w:rFonts w:ascii="Arial" w:hAnsi="Arial"/>
          <w:color w:val="010000"/>
          <w:sz w:val="20"/>
        </w:rPr>
        <w:lastRenderedPageBreak/>
        <w:t>Board or other sources with interest rates equivalent to banks at the time for the Company to resolve financial restructuring.</w:t>
      </w:r>
    </w:p>
    <w:p w14:paraId="66E4919C" w14:textId="77777777" w:rsidR="009C5F29" w:rsidRDefault="00AF27D7">
      <w:pPr>
        <w:numPr>
          <w:ilvl w:val="1"/>
          <w:numId w:val="2"/>
        </w:numPr>
        <w:pBdr>
          <w:top w:val="nil"/>
          <w:left w:val="nil"/>
          <w:bottom w:val="nil"/>
          <w:right w:val="nil"/>
          <w:between w:val="nil"/>
        </w:pBdr>
        <w:tabs>
          <w:tab w:val="left" w:pos="432"/>
          <w:tab w:val="left" w:pos="1269"/>
        </w:tabs>
        <w:spacing w:after="120" w:line="360" w:lineRule="auto"/>
        <w:rPr>
          <w:rFonts w:ascii="Arial" w:eastAsia="Arial" w:hAnsi="Arial" w:cs="Arial"/>
          <w:color w:val="010000"/>
          <w:sz w:val="20"/>
          <w:szCs w:val="20"/>
        </w:rPr>
      </w:pPr>
      <w:r>
        <w:rPr>
          <w:rFonts w:ascii="Arial" w:hAnsi="Arial"/>
          <w:color w:val="010000"/>
          <w:sz w:val="20"/>
        </w:rPr>
        <w:t>Write off outstanding receivables and payables of projects/works in accordance with current regulations. Make provisions for doubtful debts and handle doubtful debts using the provision fund in accordance with the law.</w:t>
      </w:r>
    </w:p>
    <w:p w14:paraId="69B2E868" w14:textId="77777777" w:rsidR="009C5F29" w:rsidRDefault="00AF27D7">
      <w:pPr>
        <w:numPr>
          <w:ilvl w:val="0"/>
          <w:numId w:val="2"/>
        </w:numPr>
        <w:pBdr>
          <w:top w:val="nil"/>
          <w:left w:val="nil"/>
          <w:bottom w:val="nil"/>
          <w:right w:val="nil"/>
          <w:between w:val="nil"/>
        </w:pBdr>
        <w:tabs>
          <w:tab w:val="left" w:pos="432"/>
          <w:tab w:val="left" w:pos="1155"/>
        </w:tabs>
        <w:spacing w:after="120" w:line="360" w:lineRule="auto"/>
        <w:rPr>
          <w:rFonts w:ascii="Arial" w:eastAsia="Arial" w:hAnsi="Arial" w:cs="Arial"/>
          <w:color w:val="010000"/>
          <w:sz w:val="20"/>
          <w:szCs w:val="20"/>
        </w:rPr>
      </w:pPr>
      <w:r>
        <w:rPr>
          <w:rFonts w:ascii="Arial" w:hAnsi="Arial"/>
          <w:color w:val="010000"/>
          <w:sz w:val="20"/>
        </w:rPr>
        <w:t>Authorize the Board of Directors to select one of the following three independent audit companies to audit the fiscal year 2024:</w:t>
      </w:r>
    </w:p>
    <w:p w14:paraId="0F8ADCB7" w14:textId="77777777" w:rsidR="009C5F29" w:rsidRDefault="00AF27D7">
      <w:pPr>
        <w:numPr>
          <w:ilvl w:val="0"/>
          <w:numId w:val="4"/>
        </w:num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Hanoi Branch of Auditing And Consulting Co., Ltd</w:t>
      </w:r>
    </w:p>
    <w:p w14:paraId="5D42006A" w14:textId="77777777" w:rsidR="009C5F29" w:rsidRDefault="00AF27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 40 Giang Vo, Cat Linh Ward, Dong Da District, Hanoi City.</w:t>
      </w:r>
    </w:p>
    <w:p w14:paraId="4816DB97" w14:textId="77777777" w:rsidR="009C5F29" w:rsidRDefault="00AF27D7">
      <w:pPr>
        <w:numPr>
          <w:ilvl w:val="0"/>
          <w:numId w:val="4"/>
        </w:num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proofErr w:type="spellStart"/>
      <w:r>
        <w:rPr>
          <w:rFonts w:ascii="Arial" w:hAnsi="Arial"/>
          <w:color w:val="010000"/>
          <w:sz w:val="20"/>
        </w:rPr>
        <w:t>AASC</w:t>
      </w:r>
      <w:proofErr w:type="spellEnd"/>
      <w:r>
        <w:rPr>
          <w:rFonts w:ascii="Arial" w:hAnsi="Arial"/>
          <w:color w:val="010000"/>
          <w:sz w:val="20"/>
        </w:rPr>
        <w:t xml:space="preserve"> Auditing Firm Company Limited;</w:t>
      </w:r>
    </w:p>
    <w:p w14:paraId="2FF31E14" w14:textId="77777777" w:rsidR="009C5F29" w:rsidRDefault="00AF27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office address: No. 1, Le </w:t>
      </w:r>
      <w:proofErr w:type="spellStart"/>
      <w:r>
        <w:rPr>
          <w:rFonts w:ascii="Arial" w:hAnsi="Arial"/>
          <w:color w:val="010000"/>
          <w:sz w:val="20"/>
        </w:rPr>
        <w:t>Phung</w:t>
      </w:r>
      <w:proofErr w:type="spellEnd"/>
      <w:r>
        <w:rPr>
          <w:rFonts w:ascii="Arial" w:hAnsi="Arial"/>
          <w:color w:val="010000"/>
          <w:sz w:val="20"/>
        </w:rPr>
        <w:t xml:space="preserve"> </w:t>
      </w:r>
      <w:proofErr w:type="spellStart"/>
      <w:r>
        <w:rPr>
          <w:rFonts w:ascii="Arial" w:hAnsi="Arial"/>
          <w:color w:val="010000"/>
          <w:sz w:val="20"/>
        </w:rPr>
        <w:t>Hieu</w:t>
      </w:r>
      <w:proofErr w:type="spellEnd"/>
      <w:r>
        <w:rPr>
          <w:rFonts w:ascii="Arial" w:hAnsi="Arial"/>
          <w:color w:val="010000"/>
          <w:sz w:val="20"/>
        </w:rPr>
        <w:t xml:space="preserve"> Street, Trang Tien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 Vietnam.</w:t>
      </w:r>
    </w:p>
    <w:p w14:paraId="1CD5A029" w14:textId="77777777" w:rsidR="009C5F29" w:rsidRDefault="00AF27D7">
      <w:pPr>
        <w:numPr>
          <w:ilvl w:val="0"/>
          <w:numId w:val="4"/>
        </w:num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Nhan Tam Viet Audit Company Limited</w:t>
      </w:r>
    </w:p>
    <w:p w14:paraId="4A6E15E4"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Address: 2nd Floor, Platinum Residences Building, No. 06 Nguyen Cong </w:t>
      </w:r>
      <w:proofErr w:type="spellStart"/>
      <w:r>
        <w:rPr>
          <w:rFonts w:ascii="Arial" w:hAnsi="Arial"/>
          <w:color w:val="010000"/>
          <w:sz w:val="20"/>
        </w:rPr>
        <w:t>Hoan</w:t>
      </w:r>
      <w:proofErr w:type="spellEnd"/>
      <w:r>
        <w:rPr>
          <w:rFonts w:ascii="Arial" w:hAnsi="Arial"/>
          <w:color w:val="010000"/>
          <w:sz w:val="20"/>
        </w:rPr>
        <w:t xml:space="preserve">, Ngoc </w:t>
      </w:r>
      <w:proofErr w:type="spellStart"/>
      <w:r>
        <w:rPr>
          <w:rFonts w:ascii="Arial" w:hAnsi="Arial"/>
          <w:color w:val="010000"/>
          <w:sz w:val="20"/>
        </w:rPr>
        <w:t>Khanh</w:t>
      </w:r>
      <w:proofErr w:type="spellEnd"/>
      <w:r>
        <w:rPr>
          <w:rFonts w:ascii="Arial" w:hAnsi="Arial"/>
          <w:color w:val="010000"/>
          <w:sz w:val="20"/>
        </w:rPr>
        <w:t xml:space="preserve"> Ward, Ba Dinh District, Hanoi, Vietnam.</w:t>
      </w:r>
    </w:p>
    <w:p w14:paraId="7C4AB33A"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The General Meeting of Shareholders assigns the Board of Directors to implement the contents stated in Article 1 of this General Mandate in accordance with the provisions of law and the Company's Charter.</w:t>
      </w:r>
    </w:p>
    <w:p w14:paraId="58CAAB62" w14:textId="77777777" w:rsidR="009C5F29" w:rsidRDefault="00AF27D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This General Mandate was approved by the Annual General Meeting of Shareholders in 2024 of MCG Energy and Real Estate </w:t>
      </w:r>
      <w:proofErr w:type="spellStart"/>
      <w:r>
        <w:rPr>
          <w:rFonts w:ascii="Arial" w:hAnsi="Arial"/>
          <w:color w:val="010000"/>
          <w:sz w:val="20"/>
        </w:rPr>
        <w:t>JSC</w:t>
      </w:r>
      <w:proofErr w:type="spellEnd"/>
      <w:r>
        <w:rPr>
          <w:rFonts w:ascii="Arial" w:hAnsi="Arial"/>
          <w:color w:val="010000"/>
          <w:sz w:val="20"/>
        </w:rPr>
        <w:t xml:space="preserve"> and takes effect from April 15, 2024./.</w:t>
      </w:r>
    </w:p>
    <w:p w14:paraId="721DBD6B" w14:textId="77777777" w:rsidR="009C5F29" w:rsidRDefault="009C5F29">
      <w:pPr>
        <w:spacing w:after="120" w:line="360" w:lineRule="auto"/>
        <w:rPr>
          <w:rFonts w:ascii="Arial" w:eastAsia="Arial" w:hAnsi="Arial" w:cs="Arial"/>
          <w:color w:val="010000"/>
          <w:sz w:val="20"/>
          <w:szCs w:val="20"/>
        </w:rPr>
      </w:pPr>
    </w:p>
    <w:sectPr w:rsidR="009C5F2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E3A"/>
    <w:multiLevelType w:val="multilevel"/>
    <w:tmpl w:val="4326582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5F33A7"/>
    <w:multiLevelType w:val="multilevel"/>
    <w:tmpl w:val="959CE9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7A01930"/>
    <w:multiLevelType w:val="multilevel"/>
    <w:tmpl w:val="F0E29E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BD21CA4"/>
    <w:multiLevelType w:val="multilevel"/>
    <w:tmpl w:val="FDE85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29"/>
    <w:rsid w:val="009C5F29"/>
    <w:rsid w:val="00AF27D7"/>
    <w:rsid w:val="00D7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0C22"/>
  <w15:docId w15:val="{B6AA7050-ABAC-437C-8211-7C829704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line="350"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50" w:lineRule="auto"/>
      <w:ind w:firstLine="400"/>
    </w:pPr>
    <w:rPr>
      <w:rFonts w:ascii="Times New Roman" w:eastAsia="Times New Roman" w:hAnsi="Times New Roman" w:cs="Times New Roman"/>
    </w:rPr>
  </w:style>
  <w:style w:type="paragraph" w:customStyle="1" w:styleId="Tableofcontents0">
    <w:name w:val="Table of contents"/>
    <w:basedOn w:val="Normal"/>
    <w:link w:val="Tableofcontents"/>
    <w:pPr>
      <w:spacing w:line="350" w:lineRule="auto"/>
      <w:ind w:firstLine="36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8sS4Sbhaysr/vYtev9HJUGQZTQ==">CgMxLjAyCGguZ2pkZ3hzOAByITFBV1VkNkc2RG9XVTZtMHFMSl9La3c2UGY0cEVuNDVyUA==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2024-04-23T03:23:00Z</dcterms:created>
  <dcterms:modified xsi:type="dcterms:W3CDTF">2024-04-23T03:23:00Z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9bc205452b4a64e5f7267a6e4c012ac7c5b758ee6fe2aec962bfa50b3e658caf</vt:lpwstr>
  </property>
</Properties>
</file>