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88FD8" w14:textId="77777777" w:rsidR="00352ACC" w:rsidRDefault="00827E15">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Pr>
          <w:rFonts w:ascii="Arial" w:hAnsi="Arial"/>
          <w:b/>
          <w:color w:val="010000"/>
          <w:sz w:val="20"/>
        </w:rPr>
        <w:t>PLE: Annual General Mandate 2024</w:t>
      </w:r>
    </w:p>
    <w:p w14:paraId="58833D84" w14:textId="77777777" w:rsidR="00352ACC" w:rsidRDefault="00827E1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On April 16, 2024, </w:t>
      </w:r>
      <w:proofErr w:type="spellStart"/>
      <w:r>
        <w:rPr>
          <w:rFonts w:ascii="Arial" w:hAnsi="Arial"/>
          <w:color w:val="010000"/>
          <w:sz w:val="20"/>
        </w:rPr>
        <w:t>Petrolimex</w:t>
      </w:r>
      <w:proofErr w:type="spellEnd"/>
      <w:r>
        <w:rPr>
          <w:rFonts w:ascii="Arial" w:hAnsi="Arial"/>
          <w:color w:val="010000"/>
          <w:sz w:val="20"/>
        </w:rPr>
        <w:t xml:space="preserve"> Engineering Joint Stock Company announced General Mandate No. 006/PEC-NQ-DHDCD on approving the contents of the Annual General Meeting of Shareholders 2024 as follows: </w:t>
      </w:r>
    </w:p>
    <w:p w14:paraId="3DDBC818" w14:textId="77777777" w:rsidR="00352ACC" w:rsidRDefault="00827E15">
      <w:pPr>
        <w:pBdr>
          <w:top w:val="nil"/>
          <w:left w:val="nil"/>
          <w:bottom w:val="nil"/>
          <w:right w:val="nil"/>
          <w:between w:val="nil"/>
        </w:pBdr>
        <w:spacing w:after="120" w:line="360" w:lineRule="auto"/>
        <w:rPr>
          <w:rFonts w:ascii="Arial" w:eastAsia="Arial" w:hAnsi="Arial" w:cs="Arial"/>
          <w:color w:val="010000"/>
          <w:sz w:val="20"/>
          <w:szCs w:val="20"/>
        </w:rPr>
      </w:pPr>
      <w:bookmarkStart w:id="1" w:name="_heading=h.gjdgxs"/>
      <w:bookmarkEnd w:id="1"/>
      <w:r>
        <w:rPr>
          <w:rFonts w:ascii="Arial" w:hAnsi="Arial"/>
          <w:color w:val="010000"/>
          <w:sz w:val="20"/>
        </w:rPr>
        <w:t xml:space="preserve">‎‎Article 1. The Annual General Meeting of Shareholders 2024 of </w:t>
      </w:r>
      <w:proofErr w:type="spellStart"/>
      <w:r>
        <w:rPr>
          <w:rFonts w:ascii="Arial" w:hAnsi="Arial"/>
          <w:color w:val="010000"/>
          <w:sz w:val="20"/>
        </w:rPr>
        <w:t>Petrolimex</w:t>
      </w:r>
      <w:proofErr w:type="spellEnd"/>
      <w:r>
        <w:rPr>
          <w:rFonts w:ascii="Arial" w:hAnsi="Arial"/>
          <w:color w:val="010000"/>
          <w:sz w:val="20"/>
        </w:rPr>
        <w:t xml:space="preserve"> Engineering Joint Stock Company approved the following contents (details of the contents are attached):</w:t>
      </w:r>
    </w:p>
    <w:p w14:paraId="33982413" w14:textId="77777777" w:rsidR="00352ACC" w:rsidRDefault="00827E15">
      <w:pPr>
        <w:numPr>
          <w:ilvl w:val="0"/>
          <w:numId w:val="1"/>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Pr>
          <w:rFonts w:ascii="Arial" w:hAnsi="Arial"/>
          <w:color w:val="010000"/>
          <w:sz w:val="20"/>
        </w:rPr>
        <w:t>Report on the production and business results in 2023 and the 2024 plan; Some main targets are as follows:</w:t>
      </w:r>
    </w:p>
    <w:p w14:paraId="6EACC132" w14:textId="77777777" w:rsidR="00352ACC" w:rsidRDefault="00827E1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Results of production and business activities in 2023:</w:t>
      </w:r>
    </w:p>
    <w:p w14:paraId="747C8243" w14:textId="77777777" w:rsidR="00352ACC" w:rsidRDefault="00827E1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Unit: Million VND</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4"/>
        <w:gridCol w:w="3178"/>
        <w:gridCol w:w="1917"/>
        <w:gridCol w:w="1692"/>
        <w:gridCol w:w="1616"/>
      </w:tblGrid>
      <w:tr w:rsidR="00352ACC" w14:paraId="6089F80D" w14:textId="77777777">
        <w:tc>
          <w:tcPr>
            <w:tcW w:w="614" w:type="dxa"/>
            <w:shd w:val="clear" w:color="auto" w:fill="auto"/>
            <w:tcMar>
              <w:top w:w="0" w:type="dxa"/>
              <w:bottom w:w="0" w:type="dxa"/>
            </w:tcMar>
            <w:vAlign w:val="center"/>
          </w:tcPr>
          <w:p w14:paraId="679E4224" w14:textId="77777777" w:rsidR="00352ACC" w:rsidRDefault="00827E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178" w:type="dxa"/>
            <w:shd w:val="clear" w:color="auto" w:fill="auto"/>
            <w:tcMar>
              <w:top w:w="0" w:type="dxa"/>
              <w:bottom w:w="0" w:type="dxa"/>
            </w:tcMar>
            <w:vAlign w:val="center"/>
          </w:tcPr>
          <w:p w14:paraId="3D5C5E62" w14:textId="77777777" w:rsidR="00352ACC" w:rsidRDefault="00827E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Targets</w:t>
            </w:r>
          </w:p>
        </w:tc>
        <w:tc>
          <w:tcPr>
            <w:tcW w:w="1917" w:type="dxa"/>
            <w:shd w:val="clear" w:color="auto" w:fill="auto"/>
            <w:tcMar>
              <w:top w:w="0" w:type="dxa"/>
              <w:bottom w:w="0" w:type="dxa"/>
            </w:tcMar>
            <w:vAlign w:val="center"/>
          </w:tcPr>
          <w:p w14:paraId="1B9DA062" w14:textId="70EB6F89" w:rsidR="00352ACC" w:rsidRDefault="00827E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Plan 2023</w:t>
            </w:r>
          </w:p>
        </w:tc>
        <w:tc>
          <w:tcPr>
            <w:tcW w:w="1692" w:type="dxa"/>
            <w:shd w:val="clear" w:color="auto" w:fill="auto"/>
            <w:tcMar>
              <w:top w:w="0" w:type="dxa"/>
              <w:bottom w:w="0" w:type="dxa"/>
            </w:tcMar>
            <w:vAlign w:val="center"/>
          </w:tcPr>
          <w:p w14:paraId="091E8DB9" w14:textId="36D7ECEC" w:rsidR="00352ACC" w:rsidRDefault="00827E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Results 2023</w:t>
            </w:r>
          </w:p>
        </w:tc>
        <w:tc>
          <w:tcPr>
            <w:tcW w:w="1616" w:type="dxa"/>
            <w:shd w:val="clear" w:color="auto" w:fill="auto"/>
            <w:tcMar>
              <w:top w:w="0" w:type="dxa"/>
              <w:bottom w:w="0" w:type="dxa"/>
            </w:tcMar>
            <w:vAlign w:val="center"/>
          </w:tcPr>
          <w:p w14:paraId="742F9592" w14:textId="218E728F" w:rsidR="00352ACC" w:rsidRDefault="00827E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Results 2023/ Plan2023</w:t>
            </w:r>
          </w:p>
        </w:tc>
      </w:tr>
      <w:tr w:rsidR="00352ACC" w14:paraId="32B5CE34" w14:textId="77777777">
        <w:tc>
          <w:tcPr>
            <w:tcW w:w="614" w:type="dxa"/>
            <w:shd w:val="clear" w:color="auto" w:fill="auto"/>
            <w:tcMar>
              <w:top w:w="0" w:type="dxa"/>
              <w:bottom w:w="0" w:type="dxa"/>
            </w:tcMar>
            <w:vAlign w:val="center"/>
          </w:tcPr>
          <w:p w14:paraId="27FDE7DC" w14:textId="77777777" w:rsidR="00352ACC" w:rsidRDefault="00827E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3178" w:type="dxa"/>
            <w:shd w:val="clear" w:color="auto" w:fill="auto"/>
            <w:tcMar>
              <w:top w:w="0" w:type="dxa"/>
              <w:bottom w:w="0" w:type="dxa"/>
            </w:tcMar>
            <w:vAlign w:val="center"/>
          </w:tcPr>
          <w:p w14:paraId="52B4B44B" w14:textId="77777777" w:rsidR="00352ACC" w:rsidRDefault="00827E15">
            <w:pPr>
              <w:pBdr>
                <w:top w:val="nil"/>
                <w:left w:val="nil"/>
                <w:bottom w:val="nil"/>
                <w:right w:val="nil"/>
                <w:between w:val="nil"/>
              </w:pBdr>
              <w:spacing w:after="120" w:line="360" w:lineRule="auto"/>
              <w:ind w:left="79"/>
              <w:rPr>
                <w:rFonts w:ascii="Arial" w:eastAsia="Arial" w:hAnsi="Arial" w:cs="Arial"/>
                <w:color w:val="010000"/>
                <w:sz w:val="20"/>
                <w:szCs w:val="20"/>
              </w:rPr>
            </w:pPr>
            <w:r>
              <w:rPr>
                <w:rFonts w:ascii="Arial" w:hAnsi="Arial"/>
                <w:color w:val="010000"/>
                <w:sz w:val="20"/>
              </w:rPr>
              <w:t>Output</w:t>
            </w:r>
          </w:p>
        </w:tc>
        <w:tc>
          <w:tcPr>
            <w:tcW w:w="1917" w:type="dxa"/>
            <w:shd w:val="clear" w:color="auto" w:fill="auto"/>
            <w:tcMar>
              <w:top w:w="0" w:type="dxa"/>
              <w:bottom w:w="0" w:type="dxa"/>
            </w:tcMar>
            <w:vAlign w:val="center"/>
          </w:tcPr>
          <w:p w14:paraId="7975851F" w14:textId="77777777" w:rsidR="00352ACC" w:rsidRDefault="00827E15">
            <w:pPr>
              <w:pBdr>
                <w:top w:val="nil"/>
                <w:left w:val="nil"/>
                <w:bottom w:val="nil"/>
                <w:right w:val="nil"/>
                <w:between w:val="nil"/>
              </w:pBdr>
              <w:spacing w:after="120" w:line="360" w:lineRule="auto"/>
              <w:ind w:right="171"/>
              <w:jc w:val="right"/>
              <w:rPr>
                <w:rFonts w:ascii="Arial" w:eastAsia="Arial" w:hAnsi="Arial" w:cs="Arial"/>
                <w:color w:val="010000"/>
                <w:sz w:val="20"/>
                <w:szCs w:val="20"/>
              </w:rPr>
            </w:pPr>
            <w:r>
              <w:rPr>
                <w:rFonts w:ascii="Arial" w:hAnsi="Arial"/>
                <w:color w:val="010000"/>
                <w:sz w:val="20"/>
              </w:rPr>
              <w:t>39.906</w:t>
            </w:r>
          </w:p>
        </w:tc>
        <w:tc>
          <w:tcPr>
            <w:tcW w:w="1692" w:type="dxa"/>
            <w:shd w:val="clear" w:color="auto" w:fill="auto"/>
            <w:tcMar>
              <w:top w:w="0" w:type="dxa"/>
              <w:bottom w:w="0" w:type="dxa"/>
            </w:tcMar>
            <w:vAlign w:val="center"/>
          </w:tcPr>
          <w:p w14:paraId="2C80FB56" w14:textId="77777777" w:rsidR="00352ACC" w:rsidRDefault="00827E15">
            <w:pPr>
              <w:pBdr>
                <w:top w:val="nil"/>
                <w:left w:val="nil"/>
                <w:bottom w:val="nil"/>
                <w:right w:val="nil"/>
                <w:between w:val="nil"/>
              </w:pBdr>
              <w:spacing w:after="120" w:line="360" w:lineRule="auto"/>
              <w:ind w:right="165"/>
              <w:jc w:val="right"/>
              <w:rPr>
                <w:rFonts w:ascii="Arial" w:eastAsia="Arial" w:hAnsi="Arial" w:cs="Arial"/>
                <w:color w:val="010000"/>
                <w:sz w:val="20"/>
                <w:szCs w:val="20"/>
              </w:rPr>
            </w:pPr>
            <w:r>
              <w:rPr>
                <w:rFonts w:ascii="Arial" w:hAnsi="Arial"/>
                <w:color w:val="010000"/>
                <w:sz w:val="20"/>
              </w:rPr>
              <w:t>29.197</w:t>
            </w:r>
          </w:p>
        </w:tc>
        <w:tc>
          <w:tcPr>
            <w:tcW w:w="1616" w:type="dxa"/>
            <w:shd w:val="clear" w:color="auto" w:fill="auto"/>
            <w:tcMar>
              <w:top w:w="0" w:type="dxa"/>
              <w:bottom w:w="0" w:type="dxa"/>
            </w:tcMar>
            <w:vAlign w:val="center"/>
          </w:tcPr>
          <w:p w14:paraId="6B36DC7E" w14:textId="77777777" w:rsidR="00352ACC" w:rsidRDefault="00827E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73%</w:t>
            </w:r>
          </w:p>
        </w:tc>
      </w:tr>
      <w:tr w:rsidR="00352ACC" w14:paraId="13DC0C04" w14:textId="77777777">
        <w:tc>
          <w:tcPr>
            <w:tcW w:w="614" w:type="dxa"/>
            <w:shd w:val="clear" w:color="auto" w:fill="auto"/>
            <w:tcMar>
              <w:top w:w="0" w:type="dxa"/>
              <w:bottom w:w="0" w:type="dxa"/>
            </w:tcMar>
            <w:vAlign w:val="center"/>
          </w:tcPr>
          <w:p w14:paraId="03B46142" w14:textId="77777777" w:rsidR="00352ACC" w:rsidRDefault="00827E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3178" w:type="dxa"/>
            <w:shd w:val="clear" w:color="auto" w:fill="auto"/>
            <w:tcMar>
              <w:top w:w="0" w:type="dxa"/>
              <w:bottom w:w="0" w:type="dxa"/>
            </w:tcMar>
            <w:vAlign w:val="center"/>
          </w:tcPr>
          <w:p w14:paraId="3A03D594" w14:textId="77777777" w:rsidR="00352ACC" w:rsidRDefault="00827E15">
            <w:pPr>
              <w:pBdr>
                <w:top w:val="nil"/>
                <w:left w:val="nil"/>
                <w:bottom w:val="nil"/>
                <w:right w:val="nil"/>
                <w:between w:val="nil"/>
              </w:pBdr>
              <w:spacing w:after="120" w:line="360" w:lineRule="auto"/>
              <w:ind w:left="79"/>
              <w:rPr>
                <w:rFonts w:ascii="Arial" w:eastAsia="Arial" w:hAnsi="Arial" w:cs="Arial"/>
                <w:color w:val="010000"/>
                <w:sz w:val="20"/>
                <w:szCs w:val="20"/>
              </w:rPr>
            </w:pPr>
            <w:r>
              <w:rPr>
                <w:rFonts w:ascii="Arial" w:hAnsi="Arial"/>
                <w:color w:val="010000"/>
                <w:sz w:val="20"/>
              </w:rPr>
              <w:t>Total revenue and income</w:t>
            </w:r>
          </w:p>
        </w:tc>
        <w:tc>
          <w:tcPr>
            <w:tcW w:w="1917" w:type="dxa"/>
            <w:shd w:val="clear" w:color="auto" w:fill="auto"/>
            <w:tcMar>
              <w:top w:w="0" w:type="dxa"/>
              <w:bottom w:w="0" w:type="dxa"/>
            </w:tcMar>
            <w:vAlign w:val="center"/>
          </w:tcPr>
          <w:p w14:paraId="402555DF" w14:textId="77777777" w:rsidR="00352ACC" w:rsidRDefault="00827E15">
            <w:pPr>
              <w:pBdr>
                <w:top w:val="nil"/>
                <w:left w:val="nil"/>
                <w:bottom w:val="nil"/>
                <w:right w:val="nil"/>
                <w:between w:val="nil"/>
              </w:pBdr>
              <w:spacing w:after="120" w:line="360" w:lineRule="auto"/>
              <w:ind w:right="171"/>
              <w:jc w:val="right"/>
              <w:rPr>
                <w:rFonts w:ascii="Arial" w:eastAsia="Arial" w:hAnsi="Arial" w:cs="Arial"/>
                <w:color w:val="010000"/>
                <w:sz w:val="20"/>
                <w:szCs w:val="20"/>
              </w:rPr>
            </w:pPr>
            <w:r>
              <w:rPr>
                <w:rFonts w:ascii="Arial" w:hAnsi="Arial"/>
                <w:color w:val="010000"/>
                <w:sz w:val="20"/>
              </w:rPr>
              <w:t>39.206</w:t>
            </w:r>
          </w:p>
        </w:tc>
        <w:tc>
          <w:tcPr>
            <w:tcW w:w="1692" w:type="dxa"/>
            <w:shd w:val="clear" w:color="auto" w:fill="auto"/>
            <w:tcMar>
              <w:top w:w="0" w:type="dxa"/>
              <w:bottom w:w="0" w:type="dxa"/>
            </w:tcMar>
            <w:vAlign w:val="center"/>
          </w:tcPr>
          <w:p w14:paraId="735C344F" w14:textId="77777777" w:rsidR="00352ACC" w:rsidRDefault="00827E15">
            <w:pPr>
              <w:pBdr>
                <w:top w:val="nil"/>
                <w:left w:val="nil"/>
                <w:bottom w:val="nil"/>
                <w:right w:val="nil"/>
                <w:between w:val="nil"/>
              </w:pBdr>
              <w:spacing w:after="120" w:line="360" w:lineRule="auto"/>
              <w:ind w:right="165"/>
              <w:jc w:val="right"/>
              <w:rPr>
                <w:rFonts w:ascii="Arial" w:eastAsia="Arial" w:hAnsi="Arial" w:cs="Arial"/>
                <w:color w:val="010000"/>
                <w:sz w:val="20"/>
                <w:szCs w:val="20"/>
              </w:rPr>
            </w:pPr>
            <w:r>
              <w:rPr>
                <w:rFonts w:ascii="Arial" w:hAnsi="Arial"/>
                <w:color w:val="010000"/>
                <w:sz w:val="20"/>
              </w:rPr>
              <w:t>29.197</w:t>
            </w:r>
          </w:p>
        </w:tc>
        <w:tc>
          <w:tcPr>
            <w:tcW w:w="1616" w:type="dxa"/>
            <w:shd w:val="clear" w:color="auto" w:fill="auto"/>
            <w:tcMar>
              <w:top w:w="0" w:type="dxa"/>
              <w:bottom w:w="0" w:type="dxa"/>
            </w:tcMar>
            <w:vAlign w:val="center"/>
          </w:tcPr>
          <w:p w14:paraId="334FB4E9" w14:textId="77777777" w:rsidR="00352ACC" w:rsidRDefault="00827E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74%</w:t>
            </w:r>
          </w:p>
        </w:tc>
      </w:tr>
      <w:tr w:rsidR="00352ACC" w14:paraId="2622E8DD" w14:textId="77777777">
        <w:tc>
          <w:tcPr>
            <w:tcW w:w="614" w:type="dxa"/>
            <w:shd w:val="clear" w:color="auto" w:fill="auto"/>
            <w:tcMar>
              <w:top w:w="0" w:type="dxa"/>
              <w:bottom w:w="0" w:type="dxa"/>
            </w:tcMar>
            <w:vAlign w:val="center"/>
          </w:tcPr>
          <w:p w14:paraId="7BC59FDC" w14:textId="77777777" w:rsidR="00352ACC" w:rsidRDefault="00827E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w:t>
            </w:r>
          </w:p>
        </w:tc>
        <w:tc>
          <w:tcPr>
            <w:tcW w:w="3178" w:type="dxa"/>
            <w:shd w:val="clear" w:color="auto" w:fill="auto"/>
            <w:tcMar>
              <w:top w:w="0" w:type="dxa"/>
              <w:bottom w:w="0" w:type="dxa"/>
            </w:tcMar>
            <w:vAlign w:val="center"/>
          </w:tcPr>
          <w:p w14:paraId="6792B3C7" w14:textId="77777777" w:rsidR="00352ACC" w:rsidRDefault="00827E15">
            <w:pPr>
              <w:pBdr>
                <w:top w:val="nil"/>
                <w:left w:val="nil"/>
                <w:bottom w:val="nil"/>
                <w:right w:val="nil"/>
                <w:between w:val="nil"/>
              </w:pBdr>
              <w:spacing w:after="120" w:line="360" w:lineRule="auto"/>
              <w:ind w:left="79"/>
              <w:rPr>
                <w:rFonts w:ascii="Arial" w:eastAsia="Arial" w:hAnsi="Arial" w:cs="Arial"/>
                <w:color w:val="010000"/>
                <w:sz w:val="20"/>
                <w:szCs w:val="20"/>
              </w:rPr>
            </w:pPr>
            <w:r>
              <w:rPr>
                <w:rFonts w:ascii="Arial" w:hAnsi="Arial"/>
                <w:color w:val="010000"/>
                <w:sz w:val="20"/>
              </w:rPr>
              <w:t>Total expense</w:t>
            </w:r>
          </w:p>
        </w:tc>
        <w:tc>
          <w:tcPr>
            <w:tcW w:w="1917" w:type="dxa"/>
            <w:shd w:val="clear" w:color="auto" w:fill="auto"/>
            <w:tcMar>
              <w:top w:w="0" w:type="dxa"/>
              <w:bottom w:w="0" w:type="dxa"/>
            </w:tcMar>
            <w:vAlign w:val="center"/>
          </w:tcPr>
          <w:p w14:paraId="0207D90D" w14:textId="77777777" w:rsidR="00352ACC" w:rsidRDefault="00827E15">
            <w:pPr>
              <w:pBdr>
                <w:top w:val="nil"/>
                <w:left w:val="nil"/>
                <w:bottom w:val="nil"/>
                <w:right w:val="nil"/>
                <w:between w:val="nil"/>
              </w:pBdr>
              <w:spacing w:after="120" w:line="360" w:lineRule="auto"/>
              <w:ind w:right="171"/>
              <w:jc w:val="right"/>
              <w:rPr>
                <w:rFonts w:ascii="Arial" w:eastAsia="Arial" w:hAnsi="Arial" w:cs="Arial"/>
                <w:color w:val="010000"/>
                <w:sz w:val="20"/>
                <w:szCs w:val="20"/>
              </w:rPr>
            </w:pPr>
            <w:r>
              <w:rPr>
                <w:rFonts w:ascii="Arial" w:hAnsi="Arial"/>
                <w:color w:val="010000"/>
                <w:sz w:val="20"/>
              </w:rPr>
              <w:t>38.106</w:t>
            </w:r>
          </w:p>
        </w:tc>
        <w:tc>
          <w:tcPr>
            <w:tcW w:w="1692" w:type="dxa"/>
            <w:shd w:val="clear" w:color="auto" w:fill="auto"/>
            <w:tcMar>
              <w:top w:w="0" w:type="dxa"/>
              <w:bottom w:w="0" w:type="dxa"/>
            </w:tcMar>
            <w:vAlign w:val="center"/>
          </w:tcPr>
          <w:p w14:paraId="021E6F97" w14:textId="77777777" w:rsidR="00352ACC" w:rsidRDefault="00827E15">
            <w:pPr>
              <w:pBdr>
                <w:top w:val="nil"/>
                <w:left w:val="nil"/>
                <w:bottom w:val="nil"/>
                <w:right w:val="nil"/>
                <w:between w:val="nil"/>
              </w:pBdr>
              <w:spacing w:after="120" w:line="360" w:lineRule="auto"/>
              <w:ind w:right="165"/>
              <w:jc w:val="right"/>
              <w:rPr>
                <w:rFonts w:ascii="Arial" w:eastAsia="Arial" w:hAnsi="Arial" w:cs="Arial"/>
                <w:color w:val="010000"/>
                <w:sz w:val="20"/>
                <w:szCs w:val="20"/>
              </w:rPr>
            </w:pPr>
            <w:r>
              <w:rPr>
                <w:rFonts w:ascii="Arial" w:hAnsi="Arial"/>
                <w:color w:val="010000"/>
                <w:sz w:val="20"/>
              </w:rPr>
              <w:t>28.838</w:t>
            </w:r>
          </w:p>
        </w:tc>
        <w:tc>
          <w:tcPr>
            <w:tcW w:w="1616" w:type="dxa"/>
            <w:shd w:val="clear" w:color="auto" w:fill="auto"/>
            <w:tcMar>
              <w:top w:w="0" w:type="dxa"/>
              <w:bottom w:w="0" w:type="dxa"/>
            </w:tcMar>
            <w:vAlign w:val="center"/>
          </w:tcPr>
          <w:p w14:paraId="64AB993F" w14:textId="77777777" w:rsidR="00352ACC" w:rsidRDefault="00827E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76%</w:t>
            </w:r>
          </w:p>
        </w:tc>
      </w:tr>
      <w:tr w:rsidR="00352ACC" w14:paraId="31431BB3" w14:textId="77777777">
        <w:tc>
          <w:tcPr>
            <w:tcW w:w="614" w:type="dxa"/>
            <w:shd w:val="clear" w:color="auto" w:fill="auto"/>
            <w:tcMar>
              <w:top w:w="0" w:type="dxa"/>
              <w:bottom w:w="0" w:type="dxa"/>
            </w:tcMar>
            <w:vAlign w:val="center"/>
          </w:tcPr>
          <w:p w14:paraId="244C3676" w14:textId="77777777" w:rsidR="00352ACC" w:rsidRDefault="00827E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w:t>
            </w:r>
          </w:p>
        </w:tc>
        <w:tc>
          <w:tcPr>
            <w:tcW w:w="3178" w:type="dxa"/>
            <w:shd w:val="clear" w:color="auto" w:fill="auto"/>
            <w:tcMar>
              <w:top w:w="0" w:type="dxa"/>
              <w:bottom w:w="0" w:type="dxa"/>
            </w:tcMar>
            <w:vAlign w:val="center"/>
          </w:tcPr>
          <w:p w14:paraId="1AD20DFC" w14:textId="77777777" w:rsidR="00352ACC" w:rsidRDefault="00827E15">
            <w:pPr>
              <w:pBdr>
                <w:top w:val="nil"/>
                <w:left w:val="nil"/>
                <w:bottom w:val="nil"/>
                <w:right w:val="nil"/>
                <w:between w:val="nil"/>
              </w:pBdr>
              <w:spacing w:after="120" w:line="360" w:lineRule="auto"/>
              <w:ind w:left="79"/>
              <w:rPr>
                <w:rFonts w:ascii="Arial" w:eastAsia="Arial" w:hAnsi="Arial" w:cs="Arial"/>
                <w:color w:val="010000"/>
                <w:sz w:val="20"/>
                <w:szCs w:val="20"/>
              </w:rPr>
            </w:pPr>
            <w:r>
              <w:rPr>
                <w:rFonts w:ascii="Arial" w:hAnsi="Arial"/>
                <w:color w:val="010000"/>
                <w:sz w:val="20"/>
              </w:rPr>
              <w:t>Profit before tax:</w:t>
            </w:r>
          </w:p>
        </w:tc>
        <w:tc>
          <w:tcPr>
            <w:tcW w:w="1917" w:type="dxa"/>
            <w:shd w:val="clear" w:color="auto" w:fill="auto"/>
            <w:tcMar>
              <w:top w:w="0" w:type="dxa"/>
              <w:bottom w:w="0" w:type="dxa"/>
            </w:tcMar>
            <w:vAlign w:val="center"/>
          </w:tcPr>
          <w:p w14:paraId="076F2A1B" w14:textId="77777777" w:rsidR="00352ACC" w:rsidRDefault="00827E15">
            <w:pPr>
              <w:pBdr>
                <w:top w:val="nil"/>
                <w:left w:val="nil"/>
                <w:bottom w:val="nil"/>
                <w:right w:val="nil"/>
                <w:between w:val="nil"/>
              </w:pBdr>
              <w:spacing w:after="120" w:line="360" w:lineRule="auto"/>
              <w:ind w:right="171"/>
              <w:jc w:val="right"/>
              <w:rPr>
                <w:rFonts w:ascii="Arial" w:eastAsia="Arial" w:hAnsi="Arial" w:cs="Arial"/>
                <w:color w:val="010000"/>
                <w:sz w:val="20"/>
                <w:szCs w:val="20"/>
              </w:rPr>
            </w:pPr>
            <w:r>
              <w:rPr>
                <w:rFonts w:ascii="Arial" w:hAnsi="Arial"/>
                <w:color w:val="010000"/>
                <w:sz w:val="20"/>
              </w:rPr>
              <w:t>1.800</w:t>
            </w:r>
          </w:p>
        </w:tc>
        <w:tc>
          <w:tcPr>
            <w:tcW w:w="1692" w:type="dxa"/>
            <w:shd w:val="clear" w:color="auto" w:fill="auto"/>
            <w:tcMar>
              <w:top w:w="0" w:type="dxa"/>
              <w:bottom w:w="0" w:type="dxa"/>
            </w:tcMar>
            <w:vAlign w:val="center"/>
          </w:tcPr>
          <w:p w14:paraId="4EAF1211" w14:textId="77777777" w:rsidR="00352ACC" w:rsidRDefault="00827E15">
            <w:pPr>
              <w:pBdr>
                <w:top w:val="nil"/>
                <w:left w:val="nil"/>
                <w:bottom w:val="nil"/>
                <w:right w:val="nil"/>
                <w:between w:val="nil"/>
              </w:pBdr>
              <w:spacing w:after="120" w:line="360" w:lineRule="auto"/>
              <w:ind w:right="165"/>
              <w:jc w:val="right"/>
              <w:rPr>
                <w:rFonts w:ascii="Arial" w:eastAsia="Arial" w:hAnsi="Arial" w:cs="Arial"/>
                <w:color w:val="010000"/>
                <w:sz w:val="20"/>
                <w:szCs w:val="20"/>
              </w:rPr>
            </w:pPr>
            <w:r>
              <w:rPr>
                <w:rFonts w:ascii="Arial" w:hAnsi="Arial"/>
                <w:color w:val="010000"/>
                <w:sz w:val="20"/>
              </w:rPr>
              <w:t>359</w:t>
            </w:r>
          </w:p>
        </w:tc>
        <w:tc>
          <w:tcPr>
            <w:tcW w:w="1616" w:type="dxa"/>
            <w:shd w:val="clear" w:color="auto" w:fill="auto"/>
            <w:tcMar>
              <w:top w:w="0" w:type="dxa"/>
              <w:bottom w:w="0" w:type="dxa"/>
            </w:tcMar>
            <w:vAlign w:val="center"/>
          </w:tcPr>
          <w:p w14:paraId="2D550239" w14:textId="77777777" w:rsidR="00352ACC" w:rsidRDefault="00827E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20%</w:t>
            </w:r>
          </w:p>
        </w:tc>
      </w:tr>
      <w:tr w:rsidR="00352ACC" w14:paraId="312C4DFE" w14:textId="77777777">
        <w:tc>
          <w:tcPr>
            <w:tcW w:w="614" w:type="dxa"/>
            <w:shd w:val="clear" w:color="auto" w:fill="auto"/>
            <w:tcMar>
              <w:top w:w="0" w:type="dxa"/>
              <w:bottom w:w="0" w:type="dxa"/>
            </w:tcMar>
            <w:vAlign w:val="center"/>
          </w:tcPr>
          <w:p w14:paraId="768A7771" w14:textId="77777777" w:rsidR="00352ACC" w:rsidRDefault="00827E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5</w:t>
            </w:r>
          </w:p>
        </w:tc>
        <w:tc>
          <w:tcPr>
            <w:tcW w:w="3178" w:type="dxa"/>
            <w:shd w:val="clear" w:color="auto" w:fill="auto"/>
            <w:tcMar>
              <w:top w:w="0" w:type="dxa"/>
              <w:bottom w:w="0" w:type="dxa"/>
            </w:tcMar>
            <w:vAlign w:val="center"/>
          </w:tcPr>
          <w:p w14:paraId="39152CF4" w14:textId="77777777" w:rsidR="00352ACC" w:rsidRDefault="00827E15">
            <w:pPr>
              <w:pBdr>
                <w:top w:val="nil"/>
                <w:left w:val="nil"/>
                <w:bottom w:val="nil"/>
                <w:right w:val="nil"/>
                <w:between w:val="nil"/>
              </w:pBdr>
              <w:spacing w:after="120" w:line="360" w:lineRule="auto"/>
              <w:ind w:left="79"/>
              <w:rPr>
                <w:rFonts w:ascii="Arial" w:eastAsia="Arial" w:hAnsi="Arial" w:cs="Arial"/>
                <w:color w:val="010000"/>
                <w:sz w:val="20"/>
                <w:szCs w:val="20"/>
              </w:rPr>
            </w:pPr>
            <w:r>
              <w:rPr>
                <w:rFonts w:ascii="Arial" w:hAnsi="Arial"/>
                <w:color w:val="010000"/>
                <w:sz w:val="20"/>
              </w:rPr>
              <w:t>Profit after tax</w:t>
            </w:r>
          </w:p>
        </w:tc>
        <w:tc>
          <w:tcPr>
            <w:tcW w:w="1917" w:type="dxa"/>
            <w:shd w:val="clear" w:color="auto" w:fill="auto"/>
            <w:tcMar>
              <w:top w:w="0" w:type="dxa"/>
              <w:bottom w:w="0" w:type="dxa"/>
            </w:tcMar>
            <w:vAlign w:val="center"/>
          </w:tcPr>
          <w:p w14:paraId="7C6A4CB3" w14:textId="77777777" w:rsidR="00352ACC" w:rsidRDefault="00827E15">
            <w:pPr>
              <w:pBdr>
                <w:top w:val="nil"/>
                <w:left w:val="nil"/>
                <w:bottom w:val="nil"/>
                <w:right w:val="nil"/>
                <w:between w:val="nil"/>
              </w:pBdr>
              <w:spacing w:after="120" w:line="360" w:lineRule="auto"/>
              <w:ind w:right="171"/>
              <w:jc w:val="right"/>
              <w:rPr>
                <w:rFonts w:ascii="Arial" w:eastAsia="Arial" w:hAnsi="Arial" w:cs="Arial"/>
                <w:color w:val="010000"/>
                <w:sz w:val="20"/>
                <w:szCs w:val="20"/>
              </w:rPr>
            </w:pPr>
            <w:r>
              <w:rPr>
                <w:rFonts w:ascii="Arial" w:hAnsi="Arial"/>
                <w:color w:val="010000"/>
                <w:sz w:val="20"/>
              </w:rPr>
              <w:t>1.372</w:t>
            </w:r>
          </w:p>
        </w:tc>
        <w:tc>
          <w:tcPr>
            <w:tcW w:w="1692" w:type="dxa"/>
            <w:shd w:val="clear" w:color="auto" w:fill="auto"/>
            <w:tcMar>
              <w:top w:w="0" w:type="dxa"/>
              <w:bottom w:w="0" w:type="dxa"/>
            </w:tcMar>
            <w:vAlign w:val="center"/>
          </w:tcPr>
          <w:p w14:paraId="150D7AD9" w14:textId="77777777" w:rsidR="00352ACC" w:rsidRDefault="00827E15">
            <w:pPr>
              <w:pBdr>
                <w:top w:val="nil"/>
                <w:left w:val="nil"/>
                <w:bottom w:val="nil"/>
                <w:right w:val="nil"/>
                <w:between w:val="nil"/>
              </w:pBdr>
              <w:spacing w:after="120" w:line="360" w:lineRule="auto"/>
              <w:ind w:right="165"/>
              <w:jc w:val="right"/>
              <w:rPr>
                <w:rFonts w:ascii="Arial" w:eastAsia="Arial" w:hAnsi="Arial" w:cs="Arial"/>
                <w:color w:val="010000"/>
                <w:sz w:val="20"/>
                <w:szCs w:val="20"/>
              </w:rPr>
            </w:pPr>
            <w:r>
              <w:rPr>
                <w:rFonts w:ascii="Arial" w:hAnsi="Arial"/>
                <w:color w:val="010000"/>
                <w:sz w:val="20"/>
              </w:rPr>
              <w:t>229</w:t>
            </w:r>
          </w:p>
        </w:tc>
        <w:tc>
          <w:tcPr>
            <w:tcW w:w="1616" w:type="dxa"/>
            <w:shd w:val="clear" w:color="auto" w:fill="auto"/>
            <w:tcMar>
              <w:top w:w="0" w:type="dxa"/>
              <w:bottom w:w="0" w:type="dxa"/>
            </w:tcMar>
            <w:vAlign w:val="center"/>
          </w:tcPr>
          <w:p w14:paraId="412E8836" w14:textId="77777777" w:rsidR="00352ACC" w:rsidRDefault="00827E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17%</w:t>
            </w:r>
          </w:p>
        </w:tc>
      </w:tr>
      <w:tr w:rsidR="00352ACC" w14:paraId="2838FD0B" w14:textId="77777777">
        <w:tc>
          <w:tcPr>
            <w:tcW w:w="614" w:type="dxa"/>
            <w:shd w:val="clear" w:color="auto" w:fill="auto"/>
            <w:tcMar>
              <w:top w:w="0" w:type="dxa"/>
              <w:bottom w:w="0" w:type="dxa"/>
            </w:tcMar>
            <w:vAlign w:val="center"/>
          </w:tcPr>
          <w:p w14:paraId="0BB8E2F7" w14:textId="77777777" w:rsidR="00352ACC" w:rsidRDefault="00827E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6</w:t>
            </w:r>
          </w:p>
        </w:tc>
        <w:tc>
          <w:tcPr>
            <w:tcW w:w="3178" w:type="dxa"/>
            <w:shd w:val="clear" w:color="auto" w:fill="auto"/>
            <w:tcMar>
              <w:top w:w="0" w:type="dxa"/>
              <w:bottom w:w="0" w:type="dxa"/>
            </w:tcMar>
            <w:vAlign w:val="center"/>
          </w:tcPr>
          <w:p w14:paraId="4EE7E177" w14:textId="77777777" w:rsidR="00352ACC" w:rsidRDefault="00827E15">
            <w:pPr>
              <w:pBdr>
                <w:top w:val="nil"/>
                <w:left w:val="nil"/>
                <w:bottom w:val="nil"/>
                <w:right w:val="nil"/>
                <w:between w:val="nil"/>
              </w:pBdr>
              <w:spacing w:after="120" w:line="360" w:lineRule="auto"/>
              <w:ind w:left="79"/>
              <w:rPr>
                <w:rFonts w:ascii="Arial" w:eastAsia="Arial" w:hAnsi="Arial" w:cs="Arial"/>
                <w:color w:val="010000"/>
                <w:sz w:val="20"/>
                <w:szCs w:val="20"/>
              </w:rPr>
            </w:pPr>
            <w:r>
              <w:rPr>
                <w:rFonts w:ascii="Arial" w:hAnsi="Arial"/>
                <w:color w:val="010000"/>
                <w:sz w:val="20"/>
              </w:rPr>
              <w:t>Dividends (%)</w:t>
            </w:r>
          </w:p>
        </w:tc>
        <w:tc>
          <w:tcPr>
            <w:tcW w:w="1917" w:type="dxa"/>
            <w:shd w:val="clear" w:color="auto" w:fill="auto"/>
            <w:tcMar>
              <w:top w:w="0" w:type="dxa"/>
              <w:bottom w:w="0" w:type="dxa"/>
            </w:tcMar>
            <w:vAlign w:val="center"/>
          </w:tcPr>
          <w:p w14:paraId="30C173DD" w14:textId="77777777" w:rsidR="00352ACC" w:rsidRDefault="00827E15">
            <w:pPr>
              <w:pBdr>
                <w:top w:val="nil"/>
                <w:left w:val="nil"/>
                <w:bottom w:val="nil"/>
                <w:right w:val="nil"/>
                <w:between w:val="nil"/>
              </w:pBdr>
              <w:spacing w:after="120" w:line="360" w:lineRule="auto"/>
              <w:ind w:right="171"/>
              <w:jc w:val="right"/>
              <w:rPr>
                <w:rFonts w:ascii="Arial" w:eastAsia="Arial" w:hAnsi="Arial" w:cs="Arial"/>
                <w:color w:val="010000"/>
                <w:sz w:val="20"/>
                <w:szCs w:val="20"/>
              </w:rPr>
            </w:pPr>
            <w:r>
              <w:rPr>
                <w:rFonts w:ascii="Arial" w:hAnsi="Arial"/>
                <w:color w:val="010000"/>
                <w:sz w:val="20"/>
              </w:rPr>
              <w:t>9</w:t>
            </w:r>
          </w:p>
        </w:tc>
        <w:tc>
          <w:tcPr>
            <w:tcW w:w="1692" w:type="dxa"/>
            <w:shd w:val="clear" w:color="auto" w:fill="auto"/>
            <w:tcMar>
              <w:top w:w="0" w:type="dxa"/>
              <w:bottom w:w="0" w:type="dxa"/>
            </w:tcMar>
            <w:vAlign w:val="center"/>
          </w:tcPr>
          <w:p w14:paraId="0886B2C4" w14:textId="77777777" w:rsidR="00352ACC" w:rsidRDefault="00352ACC">
            <w:pPr>
              <w:spacing w:after="120" w:line="360" w:lineRule="auto"/>
              <w:ind w:right="165"/>
              <w:jc w:val="right"/>
              <w:rPr>
                <w:rFonts w:ascii="Arial" w:eastAsia="Arial" w:hAnsi="Arial" w:cs="Arial"/>
                <w:color w:val="010000"/>
                <w:sz w:val="20"/>
                <w:szCs w:val="20"/>
              </w:rPr>
            </w:pPr>
          </w:p>
        </w:tc>
        <w:tc>
          <w:tcPr>
            <w:tcW w:w="1616" w:type="dxa"/>
            <w:shd w:val="clear" w:color="auto" w:fill="auto"/>
            <w:tcMar>
              <w:top w:w="0" w:type="dxa"/>
              <w:bottom w:w="0" w:type="dxa"/>
            </w:tcMar>
            <w:vAlign w:val="center"/>
          </w:tcPr>
          <w:p w14:paraId="3284B5A3" w14:textId="77777777" w:rsidR="00352ACC" w:rsidRDefault="00827E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w:t>
            </w:r>
          </w:p>
        </w:tc>
      </w:tr>
    </w:tbl>
    <w:p w14:paraId="2D5045C5" w14:textId="50D5F6DE" w:rsidR="00352ACC" w:rsidRDefault="00827E1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Plan 2024:</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
        <w:gridCol w:w="3589"/>
        <w:gridCol w:w="2108"/>
        <w:gridCol w:w="2732"/>
      </w:tblGrid>
      <w:tr w:rsidR="00352ACC" w14:paraId="089244CD" w14:textId="77777777">
        <w:tc>
          <w:tcPr>
            <w:tcW w:w="588" w:type="dxa"/>
            <w:shd w:val="clear" w:color="auto" w:fill="auto"/>
            <w:tcMar>
              <w:top w:w="0" w:type="dxa"/>
              <w:bottom w:w="0" w:type="dxa"/>
            </w:tcMar>
            <w:vAlign w:val="center"/>
          </w:tcPr>
          <w:p w14:paraId="7B9167EF" w14:textId="77777777" w:rsidR="00352ACC" w:rsidRDefault="00827E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589" w:type="dxa"/>
            <w:shd w:val="clear" w:color="auto" w:fill="auto"/>
            <w:tcMar>
              <w:top w:w="0" w:type="dxa"/>
              <w:bottom w:w="0" w:type="dxa"/>
            </w:tcMar>
            <w:vAlign w:val="center"/>
          </w:tcPr>
          <w:p w14:paraId="144D4612" w14:textId="77777777" w:rsidR="00352ACC" w:rsidRDefault="00827E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Targets</w:t>
            </w:r>
          </w:p>
        </w:tc>
        <w:tc>
          <w:tcPr>
            <w:tcW w:w="2108" w:type="dxa"/>
            <w:shd w:val="clear" w:color="auto" w:fill="auto"/>
            <w:tcMar>
              <w:top w:w="0" w:type="dxa"/>
              <w:bottom w:w="0" w:type="dxa"/>
            </w:tcMar>
            <w:vAlign w:val="center"/>
          </w:tcPr>
          <w:p w14:paraId="7385D8F5" w14:textId="77777777" w:rsidR="00352ACC" w:rsidRDefault="00827E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2732" w:type="dxa"/>
            <w:shd w:val="clear" w:color="auto" w:fill="auto"/>
            <w:tcMar>
              <w:top w:w="0" w:type="dxa"/>
              <w:bottom w:w="0" w:type="dxa"/>
            </w:tcMar>
            <w:vAlign w:val="center"/>
          </w:tcPr>
          <w:p w14:paraId="70E12696" w14:textId="77777777" w:rsidR="00352ACC" w:rsidRDefault="00827E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Plan for 2024</w:t>
            </w:r>
          </w:p>
        </w:tc>
      </w:tr>
      <w:tr w:rsidR="00352ACC" w14:paraId="03900DD0" w14:textId="77777777">
        <w:tc>
          <w:tcPr>
            <w:tcW w:w="588" w:type="dxa"/>
            <w:shd w:val="clear" w:color="auto" w:fill="auto"/>
            <w:tcMar>
              <w:top w:w="0" w:type="dxa"/>
              <w:bottom w:w="0" w:type="dxa"/>
            </w:tcMar>
            <w:vAlign w:val="center"/>
          </w:tcPr>
          <w:p w14:paraId="6E662D22" w14:textId="77777777" w:rsidR="00352ACC" w:rsidRDefault="00827E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3589" w:type="dxa"/>
            <w:shd w:val="clear" w:color="auto" w:fill="auto"/>
            <w:tcMar>
              <w:top w:w="0" w:type="dxa"/>
              <w:bottom w:w="0" w:type="dxa"/>
            </w:tcMar>
            <w:vAlign w:val="center"/>
          </w:tcPr>
          <w:p w14:paraId="60DE6830" w14:textId="77777777" w:rsidR="00352ACC" w:rsidRDefault="00827E15">
            <w:pPr>
              <w:pBdr>
                <w:top w:val="nil"/>
                <w:left w:val="nil"/>
                <w:bottom w:val="nil"/>
                <w:right w:val="nil"/>
                <w:between w:val="nil"/>
              </w:pBdr>
              <w:spacing w:after="120" w:line="360" w:lineRule="auto"/>
              <w:ind w:left="110"/>
              <w:rPr>
                <w:rFonts w:ascii="Arial" w:eastAsia="Arial" w:hAnsi="Arial" w:cs="Arial"/>
                <w:color w:val="010000"/>
                <w:sz w:val="20"/>
                <w:szCs w:val="20"/>
              </w:rPr>
            </w:pPr>
            <w:r>
              <w:rPr>
                <w:rFonts w:ascii="Arial" w:hAnsi="Arial"/>
                <w:color w:val="010000"/>
                <w:sz w:val="20"/>
              </w:rPr>
              <w:t>Output</w:t>
            </w:r>
          </w:p>
        </w:tc>
        <w:tc>
          <w:tcPr>
            <w:tcW w:w="2108" w:type="dxa"/>
            <w:shd w:val="clear" w:color="auto" w:fill="auto"/>
            <w:tcMar>
              <w:top w:w="0" w:type="dxa"/>
              <w:bottom w:w="0" w:type="dxa"/>
            </w:tcMar>
            <w:vAlign w:val="center"/>
          </w:tcPr>
          <w:p w14:paraId="4F4FD693" w14:textId="77777777" w:rsidR="00352ACC" w:rsidRDefault="00827E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2732" w:type="dxa"/>
            <w:shd w:val="clear" w:color="auto" w:fill="auto"/>
            <w:tcMar>
              <w:top w:w="0" w:type="dxa"/>
              <w:bottom w:w="0" w:type="dxa"/>
            </w:tcMar>
            <w:vAlign w:val="center"/>
          </w:tcPr>
          <w:p w14:paraId="44E796C6" w14:textId="77777777" w:rsidR="00352ACC" w:rsidRDefault="00827E15">
            <w:pPr>
              <w:pBdr>
                <w:top w:val="nil"/>
                <w:left w:val="nil"/>
                <w:bottom w:val="nil"/>
                <w:right w:val="nil"/>
                <w:between w:val="nil"/>
              </w:pBdr>
              <w:spacing w:after="120" w:line="360" w:lineRule="auto"/>
              <w:ind w:right="85"/>
              <w:jc w:val="right"/>
              <w:rPr>
                <w:rFonts w:ascii="Arial" w:eastAsia="Arial" w:hAnsi="Arial" w:cs="Arial"/>
                <w:color w:val="010000"/>
                <w:sz w:val="20"/>
                <w:szCs w:val="20"/>
              </w:rPr>
            </w:pPr>
            <w:r>
              <w:rPr>
                <w:rFonts w:ascii="Arial" w:hAnsi="Arial"/>
                <w:color w:val="010000"/>
                <w:sz w:val="20"/>
              </w:rPr>
              <w:t>49,500</w:t>
            </w:r>
          </w:p>
        </w:tc>
      </w:tr>
      <w:tr w:rsidR="00352ACC" w14:paraId="66E123EB" w14:textId="77777777">
        <w:tc>
          <w:tcPr>
            <w:tcW w:w="588" w:type="dxa"/>
            <w:shd w:val="clear" w:color="auto" w:fill="auto"/>
            <w:tcMar>
              <w:top w:w="0" w:type="dxa"/>
              <w:bottom w:w="0" w:type="dxa"/>
            </w:tcMar>
            <w:vAlign w:val="center"/>
          </w:tcPr>
          <w:p w14:paraId="486E9CE9" w14:textId="77777777" w:rsidR="00352ACC" w:rsidRDefault="00827E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3589" w:type="dxa"/>
            <w:shd w:val="clear" w:color="auto" w:fill="auto"/>
            <w:tcMar>
              <w:top w:w="0" w:type="dxa"/>
              <w:bottom w:w="0" w:type="dxa"/>
            </w:tcMar>
            <w:vAlign w:val="center"/>
          </w:tcPr>
          <w:p w14:paraId="568660E6" w14:textId="77777777" w:rsidR="00352ACC" w:rsidRDefault="00827E15">
            <w:pPr>
              <w:pBdr>
                <w:top w:val="nil"/>
                <w:left w:val="nil"/>
                <w:bottom w:val="nil"/>
                <w:right w:val="nil"/>
                <w:between w:val="nil"/>
              </w:pBdr>
              <w:spacing w:after="120" w:line="360" w:lineRule="auto"/>
              <w:ind w:left="110"/>
              <w:rPr>
                <w:rFonts w:ascii="Arial" w:eastAsia="Arial" w:hAnsi="Arial" w:cs="Arial"/>
                <w:color w:val="010000"/>
                <w:sz w:val="20"/>
                <w:szCs w:val="20"/>
              </w:rPr>
            </w:pPr>
            <w:r>
              <w:rPr>
                <w:rFonts w:ascii="Arial" w:hAnsi="Arial"/>
                <w:color w:val="010000"/>
                <w:sz w:val="20"/>
              </w:rPr>
              <w:t>Total revenue and income</w:t>
            </w:r>
          </w:p>
        </w:tc>
        <w:tc>
          <w:tcPr>
            <w:tcW w:w="2108" w:type="dxa"/>
            <w:shd w:val="clear" w:color="auto" w:fill="auto"/>
            <w:tcMar>
              <w:top w:w="0" w:type="dxa"/>
              <w:bottom w:w="0" w:type="dxa"/>
            </w:tcMar>
            <w:vAlign w:val="center"/>
          </w:tcPr>
          <w:p w14:paraId="7C40319D" w14:textId="77777777" w:rsidR="00352ACC" w:rsidRDefault="00827E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2732" w:type="dxa"/>
            <w:shd w:val="clear" w:color="auto" w:fill="auto"/>
            <w:tcMar>
              <w:top w:w="0" w:type="dxa"/>
              <w:bottom w:w="0" w:type="dxa"/>
            </w:tcMar>
            <w:vAlign w:val="center"/>
          </w:tcPr>
          <w:p w14:paraId="45BC60FA" w14:textId="77777777" w:rsidR="00352ACC" w:rsidRDefault="00827E15">
            <w:pPr>
              <w:pBdr>
                <w:top w:val="nil"/>
                <w:left w:val="nil"/>
                <w:bottom w:val="nil"/>
                <w:right w:val="nil"/>
                <w:between w:val="nil"/>
              </w:pBdr>
              <w:spacing w:after="120" w:line="360" w:lineRule="auto"/>
              <w:ind w:right="85"/>
              <w:jc w:val="right"/>
              <w:rPr>
                <w:rFonts w:ascii="Arial" w:eastAsia="Arial" w:hAnsi="Arial" w:cs="Arial"/>
                <w:color w:val="010000"/>
                <w:sz w:val="20"/>
                <w:szCs w:val="20"/>
              </w:rPr>
            </w:pPr>
            <w:r>
              <w:rPr>
                <w:rFonts w:ascii="Arial" w:hAnsi="Arial"/>
                <w:color w:val="010000"/>
                <w:sz w:val="20"/>
              </w:rPr>
              <w:t>49,500</w:t>
            </w:r>
          </w:p>
        </w:tc>
      </w:tr>
      <w:tr w:rsidR="00352ACC" w14:paraId="6387AF5D" w14:textId="77777777">
        <w:tc>
          <w:tcPr>
            <w:tcW w:w="588" w:type="dxa"/>
            <w:shd w:val="clear" w:color="auto" w:fill="auto"/>
            <w:tcMar>
              <w:top w:w="0" w:type="dxa"/>
              <w:bottom w:w="0" w:type="dxa"/>
            </w:tcMar>
            <w:vAlign w:val="center"/>
          </w:tcPr>
          <w:p w14:paraId="662BEB0D" w14:textId="77777777" w:rsidR="00352ACC" w:rsidRDefault="00827E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w:t>
            </w:r>
          </w:p>
        </w:tc>
        <w:tc>
          <w:tcPr>
            <w:tcW w:w="3589" w:type="dxa"/>
            <w:shd w:val="clear" w:color="auto" w:fill="auto"/>
            <w:tcMar>
              <w:top w:w="0" w:type="dxa"/>
              <w:bottom w:w="0" w:type="dxa"/>
            </w:tcMar>
            <w:vAlign w:val="center"/>
          </w:tcPr>
          <w:p w14:paraId="3DE53527" w14:textId="77777777" w:rsidR="00352ACC" w:rsidRDefault="00827E15">
            <w:pPr>
              <w:pBdr>
                <w:top w:val="nil"/>
                <w:left w:val="nil"/>
                <w:bottom w:val="nil"/>
                <w:right w:val="nil"/>
                <w:between w:val="nil"/>
              </w:pBdr>
              <w:spacing w:after="120" w:line="360" w:lineRule="auto"/>
              <w:ind w:left="110"/>
              <w:rPr>
                <w:rFonts w:ascii="Arial" w:eastAsia="Arial" w:hAnsi="Arial" w:cs="Arial"/>
                <w:color w:val="010000"/>
                <w:sz w:val="20"/>
                <w:szCs w:val="20"/>
              </w:rPr>
            </w:pPr>
            <w:r>
              <w:rPr>
                <w:rFonts w:ascii="Arial" w:hAnsi="Arial"/>
                <w:color w:val="010000"/>
                <w:sz w:val="20"/>
              </w:rPr>
              <w:t>Total expense</w:t>
            </w:r>
          </w:p>
        </w:tc>
        <w:tc>
          <w:tcPr>
            <w:tcW w:w="2108" w:type="dxa"/>
            <w:shd w:val="clear" w:color="auto" w:fill="auto"/>
            <w:tcMar>
              <w:top w:w="0" w:type="dxa"/>
              <w:bottom w:w="0" w:type="dxa"/>
            </w:tcMar>
            <w:vAlign w:val="center"/>
          </w:tcPr>
          <w:p w14:paraId="1D34F46F" w14:textId="77777777" w:rsidR="00352ACC" w:rsidRDefault="00827E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2732" w:type="dxa"/>
            <w:shd w:val="clear" w:color="auto" w:fill="auto"/>
            <w:tcMar>
              <w:top w:w="0" w:type="dxa"/>
              <w:bottom w:w="0" w:type="dxa"/>
            </w:tcMar>
            <w:vAlign w:val="center"/>
          </w:tcPr>
          <w:p w14:paraId="139202F2" w14:textId="77777777" w:rsidR="00352ACC" w:rsidRDefault="00827E15">
            <w:pPr>
              <w:pBdr>
                <w:top w:val="nil"/>
                <w:left w:val="nil"/>
                <w:bottom w:val="nil"/>
                <w:right w:val="nil"/>
                <w:between w:val="nil"/>
              </w:pBdr>
              <w:spacing w:after="120" w:line="360" w:lineRule="auto"/>
              <w:ind w:right="85"/>
              <w:jc w:val="right"/>
              <w:rPr>
                <w:rFonts w:ascii="Arial" w:eastAsia="Arial" w:hAnsi="Arial" w:cs="Arial"/>
                <w:color w:val="010000"/>
                <w:sz w:val="20"/>
                <w:szCs w:val="20"/>
              </w:rPr>
            </w:pPr>
            <w:r>
              <w:rPr>
                <w:rFonts w:ascii="Arial" w:hAnsi="Arial"/>
                <w:color w:val="010000"/>
                <w:sz w:val="20"/>
              </w:rPr>
              <w:t>47,700</w:t>
            </w:r>
          </w:p>
        </w:tc>
      </w:tr>
      <w:tr w:rsidR="00352ACC" w14:paraId="7B6F901B" w14:textId="77777777">
        <w:tc>
          <w:tcPr>
            <w:tcW w:w="588" w:type="dxa"/>
            <w:shd w:val="clear" w:color="auto" w:fill="auto"/>
            <w:tcMar>
              <w:top w:w="0" w:type="dxa"/>
              <w:bottom w:w="0" w:type="dxa"/>
            </w:tcMar>
            <w:vAlign w:val="center"/>
          </w:tcPr>
          <w:p w14:paraId="675F7E7D" w14:textId="77777777" w:rsidR="00352ACC" w:rsidRDefault="00827E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w:t>
            </w:r>
          </w:p>
        </w:tc>
        <w:tc>
          <w:tcPr>
            <w:tcW w:w="3589" w:type="dxa"/>
            <w:shd w:val="clear" w:color="auto" w:fill="auto"/>
            <w:tcMar>
              <w:top w:w="0" w:type="dxa"/>
              <w:bottom w:w="0" w:type="dxa"/>
            </w:tcMar>
            <w:vAlign w:val="center"/>
          </w:tcPr>
          <w:p w14:paraId="55847D57" w14:textId="77777777" w:rsidR="00352ACC" w:rsidRDefault="00827E15">
            <w:pPr>
              <w:pBdr>
                <w:top w:val="nil"/>
                <w:left w:val="nil"/>
                <w:bottom w:val="nil"/>
                <w:right w:val="nil"/>
                <w:between w:val="nil"/>
              </w:pBdr>
              <w:spacing w:after="120" w:line="360" w:lineRule="auto"/>
              <w:ind w:left="110"/>
              <w:rPr>
                <w:rFonts w:ascii="Arial" w:eastAsia="Arial" w:hAnsi="Arial" w:cs="Arial"/>
                <w:color w:val="010000"/>
                <w:sz w:val="20"/>
                <w:szCs w:val="20"/>
              </w:rPr>
            </w:pPr>
            <w:r>
              <w:rPr>
                <w:rFonts w:ascii="Arial" w:hAnsi="Arial"/>
                <w:color w:val="010000"/>
                <w:sz w:val="20"/>
              </w:rPr>
              <w:t>Profit before tax:</w:t>
            </w:r>
          </w:p>
        </w:tc>
        <w:tc>
          <w:tcPr>
            <w:tcW w:w="2108" w:type="dxa"/>
            <w:shd w:val="clear" w:color="auto" w:fill="auto"/>
            <w:tcMar>
              <w:top w:w="0" w:type="dxa"/>
              <w:bottom w:w="0" w:type="dxa"/>
            </w:tcMar>
            <w:vAlign w:val="center"/>
          </w:tcPr>
          <w:p w14:paraId="56C95D14" w14:textId="77777777" w:rsidR="00352ACC" w:rsidRDefault="00827E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2732" w:type="dxa"/>
            <w:shd w:val="clear" w:color="auto" w:fill="auto"/>
            <w:tcMar>
              <w:top w:w="0" w:type="dxa"/>
              <w:bottom w:w="0" w:type="dxa"/>
            </w:tcMar>
            <w:vAlign w:val="center"/>
          </w:tcPr>
          <w:p w14:paraId="0604A661" w14:textId="77777777" w:rsidR="00352ACC" w:rsidRDefault="00827E15">
            <w:pPr>
              <w:pBdr>
                <w:top w:val="nil"/>
                <w:left w:val="nil"/>
                <w:bottom w:val="nil"/>
                <w:right w:val="nil"/>
                <w:between w:val="nil"/>
              </w:pBdr>
              <w:spacing w:after="120" w:line="360" w:lineRule="auto"/>
              <w:ind w:right="85"/>
              <w:jc w:val="right"/>
              <w:rPr>
                <w:rFonts w:ascii="Arial" w:eastAsia="Arial" w:hAnsi="Arial" w:cs="Arial"/>
                <w:color w:val="010000"/>
                <w:sz w:val="20"/>
                <w:szCs w:val="20"/>
              </w:rPr>
            </w:pPr>
            <w:r>
              <w:rPr>
                <w:rFonts w:ascii="Arial" w:hAnsi="Arial"/>
                <w:color w:val="010000"/>
                <w:sz w:val="20"/>
              </w:rPr>
              <w:t>1,800</w:t>
            </w:r>
          </w:p>
        </w:tc>
      </w:tr>
      <w:tr w:rsidR="00352ACC" w14:paraId="33ADAE64" w14:textId="77777777">
        <w:tc>
          <w:tcPr>
            <w:tcW w:w="588" w:type="dxa"/>
            <w:shd w:val="clear" w:color="auto" w:fill="auto"/>
            <w:tcMar>
              <w:top w:w="0" w:type="dxa"/>
              <w:bottom w:w="0" w:type="dxa"/>
            </w:tcMar>
            <w:vAlign w:val="center"/>
          </w:tcPr>
          <w:p w14:paraId="01F856D8" w14:textId="77777777" w:rsidR="00352ACC" w:rsidRDefault="00827E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5</w:t>
            </w:r>
          </w:p>
        </w:tc>
        <w:tc>
          <w:tcPr>
            <w:tcW w:w="3589" w:type="dxa"/>
            <w:shd w:val="clear" w:color="auto" w:fill="auto"/>
            <w:tcMar>
              <w:top w:w="0" w:type="dxa"/>
              <w:bottom w:w="0" w:type="dxa"/>
            </w:tcMar>
            <w:vAlign w:val="center"/>
          </w:tcPr>
          <w:p w14:paraId="2F2859D6" w14:textId="77777777" w:rsidR="00352ACC" w:rsidRDefault="00827E15">
            <w:pPr>
              <w:pBdr>
                <w:top w:val="nil"/>
                <w:left w:val="nil"/>
                <w:bottom w:val="nil"/>
                <w:right w:val="nil"/>
                <w:between w:val="nil"/>
              </w:pBdr>
              <w:spacing w:after="120" w:line="360" w:lineRule="auto"/>
              <w:ind w:left="110"/>
              <w:rPr>
                <w:rFonts w:ascii="Arial" w:eastAsia="Arial" w:hAnsi="Arial" w:cs="Arial"/>
                <w:color w:val="010000"/>
                <w:sz w:val="20"/>
                <w:szCs w:val="20"/>
              </w:rPr>
            </w:pPr>
            <w:r>
              <w:rPr>
                <w:rFonts w:ascii="Arial" w:hAnsi="Arial"/>
                <w:color w:val="010000"/>
                <w:sz w:val="20"/>
              </w:rPr>
              <w:t>Development investment:</w:t>
            </w:r>
          </w:p>
        </w:tc>
        <w:tc>
          <w:tcPr>
            <w:tcW w:w="2108" w:type="dxa"/>
            <w:shd w:val="clear" w:color="auto" w:fill="auto"/>
            <w:tcMar>
              <w:top w:w="0" w:type="dxa"/>
              <w:bottom w:w="0" w:type="dxa"/>
            </w:tcMar>
            <w:vAlign w:val="center"/>
          </w:tcPr>
          <w:p w14:paraId="3A0B3785" w14:textId="77777777" w:rsidR="00352ACC" w:rsidRDefault="00827E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2732" w:type="dxa"/>
            <w:shd w:val="clear" w:color="auto" w:fill="auto"/>
            <w:tcMar>
              <w:top w:w="0" w:type="dxa"/>
              <w:bottom w:w="0" w:type="dxa"/>
            </w:tcMar>
            <w:vAlign w:val="center"/>
          </w:tcPr>
          <w:p w14:paraId="5B5DAC73" w14:textId="77777777" w:rsidR="00352ACC" w:rsidRDefault="00827E15">
            <w:pPr>
              <w:pBdr>
                <w:top w:val="nil"/>
                <w:left w:val="nil"/>
                <w:bottom w:val="nil"/>
                <w:right w:val="nil"/>
                <w:between w:val="nil"/>
              </w:pBdr>
              <w:spacing w:after="120" w:line="360" w:lineRule="auto"/>
              <w:ind w:right="85"/>
              <w:jc w:val="right"/>
              <w:rPr>
                <w:rFonts w:ascii="Arial" w:eastAsia="Arial" w:hAnsi="Arial" w:cs="Arial"/>
                <w:color w:val="010000"/>
                <w:sz w:val="20"/>
                <w:szCs w:val="20"/>
              </w:rPr>
            </w:pPr>
            <w:r>
              <w:rPr>
                <w:rFonts w:ascii="Arial" w:hAnsi="Arial"/>
                <w:color w:val="010000"/>
                <w:sz w:val="20"/>
              </w:rPr>
              <w:t>1,400</w:t>
            </w:r>
          </w:p>
        </w:tc>
      </w:tr>
      <w:tr w:rsidR="00352ACC" w14:paraId="5CC4285A" w14:textId="77777777">
        <w:tc>
          <w:tcPr>
            <w:tcW w:w="588" w:type="dxa"/>
            <w:shd w:val="clear" w:color="auto" w:fill="auto"/>
            <w:tcMar>
              <w:top w:w="0" w:type="dxa"/>
              <w:bottom w:w="0" w:type="dxa"/>
            </w:tcMar>
            <w:vAlign w:val="center"/>
          </w:tcPr>
          <w:p w14:paraId="2907FA69" w14:textId="77777777" w:rsidR="00352ACC" w:rsidRDefault="00827E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6</w:t>
            </w:r>
          </w:p>
        </w:tc>
        <w:tc>
          <w:tcPr>
            <w:tcW w:w="3589" w:type="dxa"/>
            <w:shd w:val="clear" w:color="auto" w:fill="auto"/>
            <w:tcMar>
              <w:top w:w="0" w:type="dxa"/>
              <w:bottom w:w="0" w:type="dxa"/>
            </w:tcMar>
            <w:vAlign w:val="center"/>
          </w:tcPr>
          <w:p w14:paraId="321E5DF2" w14:textId="77777777" w:rsidR="00352ACC" w:rsidRDefault="00827E15">
            <w:pPr>
              <w:pBdr>
                <w:top w:val="nil"/>
                <w:left w:val="nil"/>
                <w:bottom w:val="nil"/>
                <w:right w:val="nil"/>
                <w:between w:val="nil"/>
              </w:pBdr>
              <w:spacing w:after="120" w:line="360" w:lineRule="auto"/>
              <w:ind w:left="110"/>
              <w:rPr>
                <w:rFonts w:ascii="Arial" w:eastAsia="Arial" w:hAnsi="Arial" w:cs="Arial"/>
                <w:color w:val="010000"/>
                <w:sz w:val="20"/>
                <w:szCs w:val="20"/>
              </w:rPr>
            </w:pPr>
            <w:r>
              <w:rPr>
                <w:rFonts w:ascii="Arial" w:hAnsi="Arial"/>
                <w:color w:val="010000"/>
                <w:sz w:val="20"/>
              </w:rPr>
              <w:t>Payable to state budget:</w:t>
            </w:r>
          </w:p>
        </w:tc>
        <w:tc>
          <w:tcPr>
            <w:tcW w:w="2108" w:type="dxa"/>
            <w:shd w:val="clear" w:color="auto" w:fill="auto"/>
            <w:tcMar>
              <w:top w:w="0" w:type="dxa"/>
              <w:bottom w:w="0" w:type="dxa"/>
            </w:tcMar>
            <w:vAlign w:val="center"/>
          </w:tcPr>
          <w:p w14:paraId="5206D18C" w14:textId="77777777" w:rsidR="00352ACC" w:rsidRDefault="00827E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Million VND</w:t>
            </w:r>
          </w:p>
        </w:tc>
        <w:tc>
          <w:tcPr>
            <w:tcW w:w="2732" w:type="dxa"/>
            <w:shd w:val="clear" w:color="auto" w:fill="auto"/>
            <w:tcMar>
              <w:top w:w="0" w:type="dxa"/>
              <w:bottom w:w="0" w:type="dxa"/>
            </w:tcMar>
            <w:vAlign w:val="center"/>
          </w:tcPr>
          <w:p w14:paraId="6AA1D062" w14:textId="77777777" w:rsidR="00352ACC" w:rsidRDefault="00827E15">
            <w:pPr>
              <w:pBdr>
                <w:top w:val="nil"/>
                <w:left w:val="nil"/>
                <w:bottom w:val="nil"/>
                <w:right w:val="nil"/>
                <w:between w:val="nil"/>
              </w:pBdr>
              <w:spacing w:after="120" w:line="360" w:lineRule="auto"/>
              <w:ind w:right="85"/>
              <w:jc w:val="right"/>
              <w:rPr>
                <w:rFonts w:ascii="Arial" w:eastAsia="Arial" w:hAnsi="Arial" w:cs="Arial"/>
                <w:color w:val="010000"/>
                <w:sz w:val="20"/>
                <w:szCs w:val="20"/>
              </w:rPr>
            </w:pPr>
            <w:r>
              <w:rPr>
                <w:rFonts w:ascii="Arial" w:hAnsi="Arial"/>
                <w:color w:val="010000"/>
                <w:sz w:val="20"/>
              </w:rPr>
              <w:t>3,500</w:t>
            </w:r>
          </w:p>
        </w:tc>
      </w:tr>
      <w:tr w:rsidR="00352ACC" w14:paraId="04E28101" w14:textId="77777777">
        <w:tc>
          <w:tcPr>
            <w:tcW w:w="588" w:type="dxa"/>
            <w:shd w:val="clear" w:color="auto" w:fill="auto"/>
            <w:tcMar>
              <w:top w:w="0" w:type="dxa"/>
              <w:bottom w:w="0" w:type="dxa"/>
            </w:tcMar>
            <w:vAlign w:val="center"/>
          </w:tcPr>
          <w:p w14:paraId="6C4CDBFC" w14:textId="77777777" w:rsidR="00352ACC" w:rsidRDefault="00827E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7</w:t>
            </w:r>
          </w:p>
        </w:tc>
        <w:tc>
          <w:tcPr>
            <w:tcW w:w="3589" w:type="dxa"/>
            <w:shd w:val="clear" w:color="auto" w:fill="auto"/>
            <w:tcMar>
              <w:top w:w="0" w:type="dxa"/>
              <w:bottom w:w="0" w:type="dxa"/>
            </w:tcMar>
            <w:vAlign w:val="center"/>
          </w:tcPr>
          <w:p w14:paraId="5BA043D6" w14:textId="77777777" w:rsidR="00352ACC" w:rsidRDefault="00827E15">
            <w:pPr>
              <w:pBdr>
                <w:top w:val="nil"/>
                <w:left w:val="nil"/>
                <w:bottom w:val="nil"/>
                <w:right w:val="nil"/>
                <w:between w:val="nil"/>
              </w:pBdr>
              <w:spacing w:after="120" w:line="360" w:lineRule="auto"/>
              <w:ind w:left="110"/>
              <w:rPr>
                <w:rFonts w:ascii="Arial" w:eastAsia="Arial" w:hAnsi="Arial" w:cs="Arial"/>
                <w:color w:val="010000"/>
                <w:sz w:val="20"/>
                <w:szCs w:val="20"/>
              </w:rPr>
            </w:pPr>
            <w:r>
              <w:rPr>
                <w:rFonts w:ascii="Arial" w:hAnsi="Arial"/>
                <w:color w:val="010000"/>
                <w:sz w:val="20"/>
              </w:rPr>
              <w:t>Dividend payment</w:t>
            </w:r>
          </w:p>
        </w:tc>
        <w:tc>
          <w:tcPr>
            <w:tcW w:w="2108" w:type="dxa"/>
            <w:shd w:val="clear" w:color="auto" w:fill="auto"/>
            <w:tcMar>
              <w:top w:w="0" w:type="dxa"/>
              <w:bottom w:w="0" w:type="dxa"/>
            </w:tcMar>
            <w:vAlign w:val="center"/>
          </w:tcPr>
          <w:p w14:paraId="2E575B29" w14:textId="77777777" w:rsidR="00352ACC" w:rsidRDefault="00827E15">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w:t>
            </w:r>
          </w:p>
        </w:tc>
        <w:tc>
          <w:tcPr>
            <w:tcW w:w="2732" w:type="dxa"/>
            <w:shd w:val="clear" w:color="auto" w:fill="auto"/>
            <w:tcMar>
              <w:top w:w="0" w:type="dxa"/>
              <w:bottom w:w="0" w:type="dxa"/>
            </w:tcMar>
            <w:vAlign w:val="center"/>
          </w:tcPr>
          <w:p w14:paraId="6850F561" w14:textId="77777777" w:rsidR="00352ACC" w:rsidRDefault="00827E15">
            <w:pPr>
              <w:pBdr>
                <w:top w:val="nil"/>
                <w:left w:val="nil"/>
                <w:bottom w:val="nil"/>
                <w:right w:val="nil"/>
                <w:between w:val="nil"/>
              </w:pBdr>
              <w:spacing w:after="120" w:line="360" w:lineRule="auto"/>
              <w:ind w:right="85"/>
              <w:jc w:val="right"/>
              <w:rPr>
                <w:rFonts w:ascii="Arial" w:eastAsia="Arial" w:hAnsi="Arial" w:cs="Arial"/>
                <w:color w:val="010000"/>
                <w:sz w:val="20"/>
                <w:szCs w:val="20"/>
              </w:rPr>
            </w:pPr>
            <w:r>
              <w:rPr>
                <w:rFonts w:ascii="Arial" w:hAnsi="Arial"/>
                <w:color w:val="010000"/>
                <w:sz w:val="20"/>
              </w:rPr>
              <w:t>10</w:t>
            </w:r>
          </w:p>
        </w:tc>
      </w:tr>
    </w:tbl>
    <w:p w14:paraId="007BB306" w14:textId="77777777" w:rsidR="00352ACC" w:rsidRDefault="00827E15">
      <w:pPr>
        <w:numPr>
          <w:ilvl w:val="0"/>
          <w:numId w:val="1"/>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Pr>
          <w:rFonts w:ascii="Arial" w:hAnsi="Arial"/>
          <w:color w:val="010000"/>
          <w:sz w:val="20"/>
        </w:rPr>
        <w:t>Report on activities of the Board of Directors in 2023 and the plan for 2024.</w:t>
      </w:r>
    </w:p>
    <w:p w14:paraId="248F8E60" w14:textId="77777777" w:rsidR="00352ACC" w:rsidRDefault="00827E15">
      <w:pPr>
        <w:numPr>
          <w:ilvl w:val="0"/>
          <w:numId w:val="1"/>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Pr>
          <w:rFonts w:ascii="Arial" w:hAnsi="Arial"/>
          <w:color w:val="010000"/>
          <w:sz w:val="20"/>
        </w:rPr>
        <w:t>The report on activities in 2023 and the plan in 2024 of the Supervisory Board.</w:t>
      </w:r>
    </w:p>
    <w:p w14:paraId="3255BE43" w14:textId="77777777" w:rsidR="00352ACC" w:rsidRDefault="00827E15">
      <w:pPr>
        <w:numPr>
          <w:ilvl w:val="0"/>
          <w:numId w:val="1"/>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Pr>
          <w:rFonts w:ascii="Arial" w:hAnsi="Arial"/>
          <w:color w:val="010000"/>
          <w:sz w:val="20"/>
        </w:rPr>
        <w:t>Proposal on the selection of an audit company for the Financial Statements 2024:</w:t>
      </w:r>
    </w:p>
    <w:p w14:paraId="1E70D6F6" w14:textId="77777777" w:rsidR="00352ACC" w:rsidRDefault="00827E15">
      <w:pPr>
        <w:numPr>
          <w:ilvl w:val="0"/>
          <w:numId w:val="1"/>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Pr>
          <w:rFonts w:ascii="Arial" w:hAnsi="Arial"/>
          <w:color w:val="010000"/>
          <w:sz w:val="20"/>
        </w:rPr>
        <w:t>Audited Financial Statement 2023.</w:t>
      </w:r>
    </w:p>
    <w:p w14:paraId="69F3698D" w14:textId="77777777" w:rsidR="00352ACC" w:rsidRDefault="00827E15">
      <w:pPr>
        <w:numPr>
          <w:ilvl w:val="0"/>
          <w:numId w:val="1"/>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Pr>
          <w:rFonts w:ascii="Arial" w:hAnsi="Arial"/>
          <w:color w:val="010000"/>
          <w:sz w:val="20"/>
        </w:rPr>
        <w:lastRenderedPageBreak/>
        <w:t>Proposal on the profit distribution plan in 2023;</w:t>
      </w:r>
    </w:p>
    <w:tbl>
      <w:tblPr>
        <w:tblStyle w:val="a1"/>
        <w:tblW w:w="8820" w:type="dxa"/>
        <w:tblBorders>
          <w:top w:val="nil"/>
          <w:left w:val="nil"/>
          <w:bottom w:val="nil"/>
          <w:right w:val="nil"/>
          <w:insideH w:val="nil"/>
          <w:insideV w:val="nil"/>
        </w:tblBorders>
        <w:tblLayout w:type="fixed"/>
        <w:tblLook w:val="0600" w:firstRow="0" w:lastRow="0" w:firstColumn="0" w:lastColumn="0" w:noHBand="1" w:noVBand="1"/>
      </w:tblPr>
      <w:tblGrid>
        <w:gridCol w:w="930"/>
        <w:gridCol w:w="4305"/>
        <w:gridCol w:w="1740"/>
        <w:gridCol w:w="1845"/>
      </w:tblGrid>
      <w:tr w:rsidR="00352ACC" w14:paraId="2460E739" w14:textId="77777777">
        <w:trPr>
          <w:trHeight w:val="495"/>
        </w:trPr>
        <w:tc>
          <w:tcPr>
            <w:tcW w:w="930"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14:paraId="3A254809"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No.</w:t>
            </w:r>
          </w:p>
        </w:tc>
        <w:tc>
          <w:tcPr>
            <w:tcW w:w="4305" w:type="dxa"/>
            <w:tcBorders>
              <w:top w:val="single" w:sz="8" w:space="0" w:color="000000"/>
              <w:left w:val="nil"/>
              <w:bottom w:val="single" w:sz="8" w:space="0" w:color="000000"/>
              <w:right w:val="single" w:sz="8" w:space="0" w:color="000000"/>
            </w:tcBorders>
            <w:tcMar>
              <w:top w:w="0" w:type="dxa"/>
              <w:left w:w="20" w:type="dxa"/>
              <w:bottom w:w="0" w:type="dxa"/>
              <w:right w:w="20" w:type="dxa"/>
            </w:tcMar>
          </w:tcPr>
          <w:p w14:paraId="43496287"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Target</w:t>
            </w:r>
          </w:p>
        </w:tc>
        <w:tc>
          <w:tcPr>
            <w:tcW w:w="1740" w:type="dxa"/>
            <w:tcBorders>
              <w:top w:val="single" w:sz="8" w:space="0" w:color="000000"/>
              <w:left w:val="nil"/>
              <w:bottom w:val="single" w:sz="8" w:space="0" w:color="000000"/>
              <w:right w:val="single" w:sz="8" w:space="0" w:color="000000"/>
            </w:tcBorders>
            <w:tcMar>
              <w:top w:w="0" w:type="dxa"/>
              <w:left w:w="20" w:type="dxa"/>
              <w:bottom w:w="0" w:type="dxa"/>
              <w:right w:w="20" w:type="dxa"/>
            </w:tcMar>
          </w:tcPr>
          <w:p w14:paraId="7155A60A"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Amount</w:t>
            </w:r>
          </w:p>
        </w:tc>
        <w:tc>
          <w:tcPr>
            <w:tcW w:w="1845" w:type="dxa"/>
            <w:tcBorders>
              <w:top w:val="single" w:sz="8" w:space="0" w:color="000000"/>
              <w:left w:val="nil"/>
              <w:bottom w:val="single" w:sz="8" w:space="0" w:color="000000"/>
              <w:right w:val="single" w:sz="8" w:space="0" w:color="000000"/>
            </w:tcBorders>
            <w:tcMar>
              <w:top w:w="0" w:type="dxa"/>
              <w:left w:w="20" w:type="dxa"/>
              <w:bottom w:w="0" w:type="dxa"/>
              <w:right w:w="20" w:type="dxa"/>
            </w:tcMar>
          </w:tcPr>
          <w:p w14:paraId="7DCFB508"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Note</w:t>
            </w:r>
          </w:p>
        </w:tc>
      </w:tr>
      <w:tr w:rsidR="00352ACC" w14:paraId="27566664" w14:textId="77777777">
        <w:trPr>
          <w:trHeight w:val="495"/>
        </w:trPr>
        <w:tc>
          <w:tcPr>
            <w:tcW w:w="930" w:type="dxa"/>
            <w:tcBorders>
              <w:top w:val="nil"/>
              <w:left w:val="single" w:sz="8" w:space="0" w:color="000000"/>
              <w:bottom w:val="single" w:sz="8" w:space="0" w:color="000000"/>
              <w:right w:val="single" w:sz="8" w:space="0" w:color="000000"/>
            </w:tcBorders>
            <w:tcMar>
              <w:top w:w="0" w:type="dxa"/>
              <w:left w:w="20" w:type="dxa"/>
              <w:bottom w:w="0" w:type="dxa"/>
              <w:right w:w="20" w:type="dxa"/>
            </w:tcMar>
          </w:tcPr>
          <w:p w14:paraId="34933E2A"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1</w:t>
            </w:r>
          </w:p>
        </w:tc>
        <w:tc>
          <w:tcPr>
            <w:tcW w:w="4305" w:type="dxa"/>
            <w:tcBorders>
              <w:top w:val="nil"/>
              <w:left w:val="nil"/>
              <w:bottom w:val="single" w:sz="8" w:space="0" w:color="000000"/>
              <w:right w:val="single" w:sz="8" w:space="0" w:color="000000"/>
            </w:tcBorders>
            <w:tcMar>
              <w:top w:w="0" w:type="dxa"/>
              <w:left w:w="20" w:type="dxa"/>
              <w:bottom w:w="0" w:type="dxa"/>
              <w:right w:w="20" w:type="dxa"/>
            </w:tcMar>
          </w:tcPr>
          <w:p w14:paraId="0FC49D8A"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Realized profit</w:t>
            </w:r>
          </w:p>
        </w:tc>
        <w:tc>
          <w:tcPr>
            <w:tcW w:w="1740" w:type="dxa"/>
            <w:tcBorders>
              <w:top w:val="nil"/>
              <w:left w:val="nil"/>
              <w:bottom w:val="single" w:sz="8" w:space="0" w:color="000000"/>
              <w:right w:val="single" w:sz="8" w:space="0" w:color="000000"/>
            </w:tcBorders>
            <w:tcMar>
              <w:top w:w="0" w:type="dxa"/>
              <w:left w:w="20" w:type="dxa"/>
              <w:bottom w:w="0" w:type="dxa"/>
              <w:right w:w="20" w:type="dxa"/>
            </w:tcMar>
          </w:tcPr>
          <w:p w14:paraId="04DC672A"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358,789,973</w:t>
            </w:r>
          </w:p>
        </w:tc>
        <w:tc>
          <w:tcPr>
            <w:tcW w:w="1845" w:type="dxa"/>
            <w:tcBorders>
              <w:top w:val="nil"/>
              <w:left w:val="nil"/>
              <w:bottom w:val="single" w:sz="8" w:space="0" w:color="000000"/>
              <w:right w:val="single" w:sz="8" w:space="0" w:color="000000"/>
            </w:tcBorders>
            <w:tcMar>
              <w:top w:w="0" w:type="dxa"/>
              <w:left w:w="20" w:type="dxa"/>
              <w:bottom w:w="0" w:type="dxa"/>
              <w:right w:w="20" w:type="dxa"/>
            </w:tcMar>
          </w:tcPr>
          <w:p w14:paraId="166E7A4C"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1=1a+1b</w:t>
            </w:r>
          </w:p>
        </w:tc>
      </w:tr>
      <w:tr w:rsidR="00352ACC" w14:paraId="1219FDBE" w14:textId="77777777">
        <w:trPr>
          <w:trHeight w:val="495"/>
        </w:trPr>
        <w:tc>
          <w:tcPr>
            <w:tcW w:w="930" w:type="dxa"/>
            <w:tcBorders>
              <w:top w:val="nil"/>
              <w:left w:val="single" w:sz="8" w:space="0" w:color="000000"/>
              <w:bottom w:val="single" w:sz="8" w:space="0" w:color="000000"/>
              <w:right w:val="single" w:sz="8" w:space="0" w:color="000000"/>
            </w:tcBorders>
            <w:tcMar>
              <w:top w:w="0" w:type="dxa"/>
              <w:left w:w="20" w:type="dxa"/>
              <w:bottom w:w="0" w:type="dxa"/>
              <w:right w:w="20" w:type="dxa"/>
            </w:tcMar>
          </w:tcPr>
          <w:p w14:paraId="38A2C752"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1 a</w:t>
            </w:r>
          </w:p>
        </w:tc>
        <w:tc>
          <w:tcPr>
            <w:tcW w:w="4305" w:type="dxa"/>
            <w:tcBorders>
              <w:top w:val="nil"/>
              <w:left w:val="nil"/>
              <w:bottom w:val="single" w:sz="8" w:space="0" w:color="000000"/>
              <w:right w:val="single" w:sz="8" w:space="0" w:color="000000"/>
            </w:tcBorders>
            <w:tcMar>
              <w:top w:w="0" w:type="dxa"/>
              <w:left w:w="20" w:type="dxa"/>
              <w:bottom w:w="0" w:type="dxa"/>
              <w:right w:w="20" w:type="dxa"/>
            </w:tcMar>
          </w:tcPr>
          <w:p w14:paraId="57C56915"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Profit from business activities</w:t>
            </w:r>
          </w:p>
        </w:tc>
        <w:tc>
          <w:tcPr>
            <w:tcW w:w="1740" w:type="dxa"/>
            <w:tcBorders>
              <w:top w:val="nil"/>
              <w:left w:val="nil"/>
              <w:bottom w:val="single" w:sz="8" w:space="0" w:color="000000"/>
              <w:right w:val="single" w:sz="8" w:space="0" w:color="000000"/>
            </w:tcBorders>
            <w:tcMar>
              <w:top w:w="0" w:type="dxa"/>
              <w:left w:w="20" w:type="dxa"/>
              <w:bottom w:w="0" w:type="dxa"/>
              <w:right w:w="20" w:type="dxa"/>
            </w:tcMar>
          </w:tcPr>
          <w:p w14:paraId="4B5D31BB"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358,789,973</w:t>
            </w:r>
          </w:p>
        </w:tc>
        <w:tc>
          <w:tcPr>
            <w:tcW w:w="1845" w:type="dxa"/>
            <w:tcBorders>
              <w:top w:val="nil"/>
              <w:left w:val="nil"/>
              <w:bottom w:val="single" w:sz="8" w:space="0" w:color="000000"/>
              <w:right w:val="single" w:sz="8" w:space="0" w:color="000000"/>
            </w:tcBorders>
            <w:tcMar>
              <w:top w:w="0" w:type="dxa"/>
              <w:left w:w="20" w:type="dxa"/>
              <w:bottom w:w="0" w:type="dxa"/>
              <w:right w:w="20" w:type="dxa"/>
            </w:tcMar>
          </w:tcPr>
          <w:p w14:paraId="5149AA60"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 xml:space="preserve"> </w:t>
            </w:r>
          </w:p>
        </w:tc>
      </w:tr>
      <w:tr w:rsidR="00352ACC" w14:paraId="20ABC2A4" w14:textId="77777777">
        <w:trPr>
          <w:trHeight w:val="495"/>
        </w:trPr>
        <w:tc>
          <w:tcPr>
            <w:tcW w:w="930" w:type="dxa"/>
            <w:tcBorders>
              <w:top w:val="nil"/>
              <w:left w:val="single" w:sz="8" w:space="0" w:color="000000"/>
              <w:bottom w:val="single" w:sz="8" w:space="0" w:color="000000"/>
              <w:right w:val="single" w:sz="8" w:space="0" w:color="000000"/>
            </w:tcBorders>
            <w:tcMar>
              <w:top w:w="0" w:type="dxa"/>
              <w:left w:w="20" w:type="dxa"/>
              <w:bottom w:w="0" w:type="dxa"/>
              <w:right w:w="20" w:type="dxa"/>
            </w:tcMar>
          </w:tcPr>
          <w:p w14:paraId="0A2825D6"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1b</w:t>
            </w:r>
          </w:p>
        </w:tc>
        <w:tc>
          <w:tcPr>
            <w:tcW w:w="4305" w:type="dxa"/>
            <w:tcBorders>
              <w:top w:val="nil"/>
              <w:left w:val="nil"/>
              <w:bottom w:val="single" w:sz="8" w:space="0" w:color="000000"/>
              <w:right w:val="single" w:sz="8" w:space="0" w:color="000000"/>
            </w:tcBorders>
            <w:tcMar>
              <w:top w:w="0" w:type="dxa"/>
              <w:left w:w="20" w:type="dxa"/>
              <w:bottom w:w="0" w:type="dxa"/>
              <w:right w:w="20" w:type="dxa"/>
            </w:tcMar>
          </w:tcPr>
          <w:p w14:paraId="414044FB"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Unrealized foreign exchange gains</w:t>
            </w:r>
          </w:p>
        </w:tc>
        <w:tc>
          <w:tcPr>
            <w:tcW w:w="1740" w:type="dxa"/>
            <w:tcBorders>
              <w:top w:val="nil"/>
              <w:left w:val="nil"/>
              <w:bottom w:val="single" w:sz="8" w:space="0" w:color="000000"/>
              <w:right w:val="single" w:sz="8" w:space="0" w:color="000000"/>
            </w:tcBorders>
            <w:tcMar>
              <w:top w:w="0" w:type="dxa"/>
              <w:left w:w="20" w:type="dxa"/>
              <w:bottom w:w="0" w:type="dxa"/>
              <w:right w:w="20" w:type="dxa"/>
            </w:tcMar>
          </w:tcPr>
          <w:p w14:paraId="59A31A8A"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w:t>
            </w:r>
          </w:p>
        </w:tc>
        <w:tc>
          <w:tcPr>
            <w:tcW w:w="1845" w:type="dxa"/>
            <w:tcBorders>
              <w:top w:val="nil"/>
              <w:left w:val="nil"/>
              <w:bottom w:val="single" w:sz="8" w:space="0" w:color="000000"/>
              <w:right w:val="single" w:sz="8" w:space="0" w:color="000000"/>
            </w:tcBorders>
            <w:tcMar>
              <w:top w:w="0" w:type="dxa"/>
              <w:left w:w="20" w:type="dxa"/>
              <w:bottom w:w="0" w:type="dxa"/>
              <w:right w:w="20" w:type="dxa"/>
            </w:tcMar>
          </w:tcPr>
          <w:p w14:paraId="613DF34D"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 xml:space="preserve"> </w:t>
            </w:r>
          </w:p>
        </w:tc>
      </w:tr>
      <w:tr w:rsidR="00352ACC" w14:paraId="74675DB4" w14:textId="77777777">
        <w:trPr>
          <w:trHeight w:val="495"/>
        </w:trPr>
        <w:tc>
          <w:tcPr>
            <w:tcW w:w="930" w:type="dxa"/>
            <w:tcBorders>
              <w:top w:val="nil"/>
              <w:left w:val="single" w:sz="8" w:space="0" w:color="000000"/>
              <w:bottom w:val="single" w:sz="8" w:space="0" w:color="000000"/>
              <w:right w:val="single" w:sz="8" w:space="0" w:color="000000"/>
            </w:tcBorders>
            <w:tcMar>
              <w:top w:w="0" w:type="dxa"/>
              <w:left w:w="20" w:type="dxa"/>
              <w:bottom w:w="0" w:type="dxa"/>
              <w:right w:w="20" w:type="dxa"/>
            </w:tcMar>
          </w:tcPr>
          <w:p w14:paraId="7856D61B"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1c</w:t>
            </w:r>
          </w:p>
        </w:tc>
        <w:tc>
          <w:tcPr>
            <w:tcW w:w="4305" w:type="dxa"/>
            <w:tcBorders>
              <w:top w:val="nil"/>
              <w:left w:val="nil"/>
              <w:bottom w:val="single" w:sz="8" w:space="0" w:color="000000"/>
              <w:right w:val="single" w:sz="8" w:space="0" w:color="000000"/>
            </w:tcBorders>
            <w:tcMar>
              <w:top w:w="0" w:type="dxa"/>
              <w:left w:w="20" w:type="dxa"/>
              <w:bottom w:w="0" w:type="dxa"/>
              <w:right w:w="20" w:type="dxa"/>
            </w:tcMar>
          </w:tcPr>
          <w:p w14:paraId="3660C36B"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Profit subject to corporate income tax</w:t>
            </w:r>
          </w:p>
        </w:tc>
        <w:tc>
          <w:tcPr>
            <w:tcW w:w="1740" w:type="dxa"/>
            <w:tcBorders>
              <w:top w:val="nil"/>
              <w:left w:val="nil"/>
              <w:bottom w:val="single" w:sz="8" w:space="0" w:color="000000"/>
              <w:right w:val="single" w:sz="8" w:space="0" w:color="000000"/>
            </w:tcBorders>
            <w:tcMar>
              <w:top w:w="0" w:type="dxa"/>
              <w:left w:w="20" w:type="dxa"/>
              <w:bottom w:w="0" w:type="dxa"/>
              <w:right w:w="20" w:type="dxa"/>
            </w:tcMar>
          </w:tcPr>
          <w:p w14:paraId="3935B238"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650,674,973</w:t>
            </w:r>
          </w:p>
        </w:tc>
        <w:tc>
          <w:tcPr>
            <w:tcW w:w="1845" w:type="dxa"/>
            <w:tcBorders>
              <w:top w:val="nil"/>
              <w:left w:val="nil"/>
              <w:bottom w:val="single" w:sz="8" w:space="0" w:color="000000"/>
              <w:right w:val="single" w:sz="8" w:space="0" w:color="000000"/>
            </w:tcBorders>
            <w:tcMar>
              <w:top w:w="0" w:type="dxa"/>
              <w:left w:w="20" w:type="dxa"/>
              <w:bottom w:w="0" w:type="dxa"/>
              <w:right w:w="20" w:type="dxa"/>
            </w:tcMar>
          </w:tcPr>
          <w:p w14:paraId="5C02D9B8"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1c=1+1d</w:t>
            </w:r>
          </w:p>
        </w:tc>
      </w:tr>
      <w:tr w:rsidR="00352ACC" w14:paraId="4E8DC6D7" w14:textId="77777777">
        <w:trPr>
          <w:trHeight w:val="495"/>
        </w:trPr>
        <w:tc>
          <w:tcPr>
            <w:tcW w:w="930" w:type="dxa"/>
            <w:tcBorders>
              <w:top w:val="nil"/>
              <w:left w:val="single" w:sz="8" w:space="0" w:color="000000"/>
              <w:bottom w:val="single" w:sz="8" w:space="0" w:color="000000"/>
              <w:right w:val="single" w:sz="8" w:space="0" w:color="000000"/>
            </w:tcBorders>
            <w:tcMar>
              <w:top w:w="0" w:type="dxa"/>
              <w:left w:w="20" w:type="dxa"/>
              <w:bottom w:w="0" w:type="dxa"/>
              <w:right w:w="20" w:type="dxa"/>
            </w:tcMar>
          </w:tcPr>
          <w:p w14:paraId="3C82B7E1"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1d</w:t>
            </w:r>
          </w:p>
        </w:tc>
        <w:tc>
          <w:tcPr>
            <w:tcW w:w="4305" w:type="dxa"/>
            <w:tcBorders>
              <w:top w:val="nil"/>
              <w:left w:val="nil"/>
              <w:bottom w:val="single" w:sz="8" w:space="0" w:color="000000"/>
              <w:right w:val="single" w:sz="8" w:space="0" w:color="000000"/>
            </w:tcBorders>
            <w:tcMar>
              <w:top w:w="0" w:type="dxa"/>
              <w:left w:w="20" w:type="dxa"/>
              <w:bottom w:w="0" w:type="dxa"/>
              <w:right w:w="20" w:type="dxa"/>
            </w:tcMar>
          </w:tcPr>
          <w:p w14:paraId="7DD50561"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Expenses subject to corporate income tax</w:t>
            </w:r>
          </w:p>
        </w:tc>
        <w:tc>
          <w:tcPr>
            <w:tcW w:w="1740" w:type="dxa"/>
            <w:tcBorders>
              <w:top w:val="nil"/>
              <w:left w:val="nil"/>
              <w:bottom w:val="single" w:sz="8" w:space="0" w:color="000000"/>
              <w:right w:val="single" w:sz="8" w:space="0" w:color="000000"/>
            </w:tcBorders>
            <w:tcMar>
              <w:top w:w="0" w:type="dxa"/>
              <w:left w:w="20" w:type="dxa"/>
              <w:bottom w:w="0" w:type="dxa"/>
              <w:right w:w="20" w:type="dxa"/>
            </w:tcMar>
          </w:tcPr>
          <w:p w14:paraId="703C67DA"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291,885,000</w:t>
            </w:r>
          </w:p>
        </w:tc>
        <w:tc>
          <w:tcPr>
            <w:tcW w:w="1845" w:type="dxa"/>
            <w:tcBorders>
              <w:top w:val="nil"/>
              <w:left w:val="nil"/>
              <w:bottom w:val="single" w:sz="8" w:space="0" w:color="000000"/>
              <w:right w:val="single" w:sz="8" w:space="0" w:color="000000"/>
            </w:tcBorders>
            <w:tcMar>
              <w:top w:w="0" w:type="dxa"/>
              <w:left w:w="20" w:type="dxa"/>
              <w:bottom w:w="0" w:type="dxa"/>
              <w:right w:w="20" w:type="dxa"/>
            </w:tcMar>
          </w:tcPr>
          <w:p w14:paraId="5868FBB9"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 xml:space="preserve"> </w:t>
            </w:r>
          </w:p>
        </w:tc>
      </w:tr>
      <w:tr w:rsidR="00352ACC" w14:paraId="3AD22434" w14:textId="77777777">
        <w:trPr>
          <w:trHeight w:val="495"/>
        </w:trPr>
        <w:tc>
          <w:tcPr>
            <w:tcW w:w="930" w:type="dxa"/>
            <w:tcBorders>
              <w:top w:val="nil"/>
              <w:left w:val="single" w:sz="8" w:space="0" w:color="000000"/>
              <w:bottom w:val="single" w:sz="8" w:space="0" w:color="000000"/>
              <w:right w:val="single" w:sz="8" w:space="0" w:color="000000"/>
            </w:tcBorders>
            <w:tcMar>
              <w:top w:w="0" w:type="dxa"/>
              <w:left w:w="20" w:type="dxa"/>
              <w:bottom w:w="0" w:type="dxa"/>
              <w:right w:w="20" w:type="dxa"/>
            </w:tcMar>
          </w:tcPr>
          <w:p w14:paraId="30120FC1"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2</w:t>
            </w:r>
          </w:p>
        </w:tc>
        <w:tc>
          <w:tcPr>
            <w:tcW w:w="4305" w:type="dxa"/>
            <w:tcBorders>
              <w:top w:val="nil"/>
              <w:left w:val="nil"/>
              <w:bottom w:val="single" w:sz="8" w:space="0" w:color="000000"/>
              <w:right w:val="single" w:sz="8" w:space="0" w:color="000000"/>
            </w:tcBorders>
            <w:tcMar>
              <w:top w:w="0" w:type="dxa"/>
              <w:left w:w="20" w:type="dxa"/>
              <w:bottom w:w="0" w:type="dxa"/>
              <w:right w:w="20" w:type="dxa"/>
            </w:tcMar>
          </w:tcPr>
          <w:p w14:paraId="3FF33D4C"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Science and technology development fund</w:t>
            </w:r>
          </w:p>
        </w:tc>
        <w:tc>
          <w:tcPr>
            <w:tcW w:w="1740" w:type="dxa"/>
            <w:tcBorders>
              <w:top w:val="nil"/>
              <w:left w:val="nil"/>
              <w:bottom w:val="single" w:sz="8" w:space="0" w:color="000000"/>
              <w:right w:val="single" w:sz="8" w:space="0" w:color="000000"/>
            </w:tcBorders>
            <w:tcMar>
              <w:top w:w="0" w:type="dxa"/>
              <w:left w:w="20" w:type="dxa"/>
              <w:bottom w:w="0" w:type="dxa"/>
              <w:right w:w="20" w:type="dxa"/>
            </w:tcMar>
          </w:tcPr>
          <w:p w14:paraId="718372CF"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 xml:space="preserve"> </w:t>
            </w:r>
          </w:p>
        </w:tc>
        <w:tc>
          <w:tcPr>
            <w:tcW w:w="1845" w:type="dxa"/>
            <w:tcBorders>
              <w:top w:val="nil"/>
              <w:left w:val="nil"/>
              <w:bottom w:val="single" w:sz="8" w:space="0" w:color="000000"/>
              <w:right w:val="single" w:sz="8" w:space="0" w:color="000000"/>
            </w:tcBorders>
            <w:tcMar>
              <w:top w:w="0" w:type="dxa"/>
              <w:left w:w="20" w:type="dxa"/>
              <w:bottom w:w="0" w:type="dxa"/>
              <w:right w:w="20" w:type="dxa"/>
            </w:tcMar>
          </w:tcPr>
          <w:p w14:paraId="5AD8661C"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 xml:space="preserve"> </w:t>
            </w:r>
          </w:p>
        </w:tc>
      </w:tr>
      <w:tr w:rsidR="00352ACC" w14:paraId="0455C923" w14:textId="77777777">
        <w:trPr>
          <w:trHeight w:val="495"/>
        </w:trPr>
        <w:tc>
          <w:tcPr>
            <w:tcW w:w="930" w:type="dxa"/>
            <w:tcBorders>
              <w:top w:val="nil"/>
              <w:left w:val="single" w:sz="8" w:space="0" w:color="000000"/>
              <w:bottom w:val="single" w:sz="8" w:space="0" w:color="000000"/>
              <w:right w:val="single" w:sz="8" w:space="0" w:color="000000"/>
            </w:tcBorders>
            <w:tcMar>
              <w:top w:w="0" w:type="dxa"/>
              <w:left w:w="20" w:type="dxa"/>
              <w:bottom w:w="0" w:type="dxa"/>
              <w:right w:w="20" w:type="dxa"/>
            </w:tcMar>
          </w:tcPr>
          <w:p w14:paraId="2AC3A52D"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3</w:t>
            </w:r>
          </w:p>
        </w:tc>
        <w:tc>
          <w:tcPr>
            <w:tcW w:w="4305" w:type="dxa"/>
            <w:tcBorders>
              <w:top w:val="nil"/>
              <w:left w:val="nil"/>
              <w:bottom w:val="single" w:sz="8" w:space="0" w:color="000000"/>
              <w:right w:val="single" w:sz="8" w:space="0" w:color="000000"/>
            </w:tcBorders>
            <w:tcMar>
              <w:top w:w="0" w:type="dxa"/>
              <w:left w:w="20" w:type="dxa"/>
              <w:bottom w:w="0" w:type="dxa"/>
              <w:right w:w="20" w:type="dxa"/>
            </w:tcMar>
          </w:tcPr>
          <w:p w14:paraId="2EA4715C"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Corporate income tax</w:t>
            </w:r>
          </w:p>
        </w:tc>
        <w:tc>
          <w:tcPr>
            <w:tcW w:w="1740" w:type="dxa"/>
            <w:tcBorders>
              <w:top w:val="nil"/>
              <w:left w:val="nil"/>
              <w:bottom w:val="single" w:sz="8" w:space="0" w:color="000000"/>
              <w:right w:val="single" w:sz="8" w:space="0" w:color="000000"/>
            </w:tcBorders>
            <w:tcMar>
              <w:top w:w="0" w:type="dxa"/>
              <w:left w:w="20" w:type="dxa"/>
              <w:bottom w:w="0" w:type="dxa"/>
              <w:right w:w="20" w:type="dxa"/>
            </w:tcMar>
          </w:tcPr>
          <w:p w14:paraId="759DB13B"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130,134,995</w:t>
            </w:r>
          </w:p>
        </w:tc>
        <w:tc>
          <w:tcPr>
            <w:tcW w:w="1845" w:type="dxa"/>
            <w:tcBorders>
              <w:top w:val="nil"/>
              <w:left w:val="nil"/>
              <w:bottom w:val="single" w:sz="8" w:space="0" w:color="000000"/>
              <w:right w:val="single" w:sz="8" w:space="0" w:color="000000"/>
            </w:tcBorders>
            <w:tcMar>
              <w:top w:w="0" w:type="dxa"/>
              <w:left w:w="20" w:type="dxa"/>
              <w:bottom w:w="0" w:type="dxa"/>
              <w:right w:w="20" w:type="dxa"/>
            </w:tcMar>
          </w:tcPr>
          <w:p w14:paraId="3DA52A55"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3=1c*20%</w:t>
            </w:r>
          </w:p>
        </w:tc>
      </w:tr>
      <w:tr w:rsidR="00352ACC" w14:paraId="1DF65AD0" w14:textId="77777777">
        <w:trPr>
          <w:trHeight w:val="495"/>
        </w:trPr>
        <w:tc>
          <w:tcPr>
            <w:tcW w:w="930" w:type="dxa"/>
            <w:tcBorders>
              <w:top w:val="nil"/>
              <w:left w:val="single" w:sz="8" w:space="0" w:color="000000"/>
              <w:bottom w:val="single" w:sz="8" w:space="0" w:color="000000"/>
              <w:right w:val="single" w:sz="8" w:space="0" w:color="000000"/>
            </w:tcBorders>
            <w:tcMar>
              <w:top w:w="0" w:type="dxa"/>
              <w:left w:w="20" w:type="dxa"/>
              <w:bottom w:w="0" w:type="dxa"/>
              <w:right w:w="20" w:type="dxa"/>
            </w:tcMar>
          </w:tcPr>
          <w:p w14:paraId="6A11F76A"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3 a</w:t>
            </w:r>
          </w:p>
        </w:tc>
        <w:tc>
          <w:tcPr>
            <w:tcW w:w="4305" w:type="dxa"/>
            <w:tcBorders>
              <w:top w:val="nil"/>
              <w:left w:val="nil"/>
              <w:bottom w:val="single" w:sz="8" w:space="0" w:color="000000"/>
              <w:right w:val="single" w:sz="8" w:space="0" w:color="000000"/>
            </w:tcBorders>
            <w:tcMar>
              <w:top w:w="0" w:type="dxa"/>
              <w:left w:w="20" w:type="dxa"/>
              <w:bottom w:w="0" w:type="dxa"/>
              <w:right w:w="20" w:type="dxa"/>
            </w:tcMar>
          </w:tcPr>
          <w:p w14:paraId="4E4D8416"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From business activities.</w:t>
            </w:r>
          </w:p>
        </w:tc>
        <w:tc>
          <w:tcPr>
            <w:tcW w:w="1740" w:type="dxa"/>
            <w:tcBorders>
              <w:top w:val="nil"/>
              <w:left w:val="nil"/>
              <w:bottom w:val="single" w:sz="8" w:space="0" w:color="000000"/>
              <w:right w:val="single" w:sz="8" w:space="0" w:color="000000"/>
            </w:tcBorders>
            <w:tcMar>
              <w:top w:w="0" w:type="dxa"/>
              <w:left w:w="20" w:type="dxa"/>
              <w:bottom w:w="0" w:type="dxa"/>
              <w:right w:w="20" w:type="dxa"/>
            </w:tcMar>
          </w:tcPr>
          <w:p w14:paraId="0ED10D06"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130,134,995</w:t>
            </w:r>
          </w:p>
        </w:tc>
        <w:tc>
          <w:tcPr>
            <w:tcW w:w="1845" w:type="dxa"/>
            <w:tcBorders>
              <w:top w:val="nil"/>
              <w:left w:val="nil"/>
              <w:bottom w:val="single" w:sz="8" w:space="0" w:color="000000"/>
              <w:right w:val="single" w:sz="8" w:space="0" w:color="000000"/>
            </w:tcBorders>
            <w:tcMar>
              <w:top w:w="0" w:type="dxa"/>
              <w:left w:w="20" w:type="dxa"/>
              <w:bottom w:w="0" w:type="dxa"/>
              <w:right w:w="20" w:type="dxa"/>
            </w:tcMar>
          </w:tcPr>
          <w:p w14:paraId="04ED482B"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 xml:space="preserve"> </w:t>
            </w:r>
          </w:p>
        </w:tc>
      </w:tr>
      <w:tr w:rsidR="00352ACC" w14:paraId="7C17852D" w14:textId="77777777">
        <w:trPr>
          <w:trHeight w:val="495"/>
        </w:trPr>
        <w:tc>
          <w:tcPr>
            <w:tcW w:w="930" w:type="dxa"/>
            <w:tcBorders>
              <w:top w:val="nil"/>
              <w:left w:val="single" w:sz="8" w:space="0" w:color="000000"/>
              <w:bottom w:val="single" w:sz="8" w:space="0" w:color="000000"/>
              <w:right w:val="single" w:sz="8" w:space="0" w:color="000000"/>
            </w:tcBorders>
            <w:tcMar>
              <w:top w:w="0" w:type="dxa"/>
              <w:left w:w="20" w:type="dxa"/>
              <w:bottom w:w="0" w:type="dxa"/>
              <w:right w:w="20" w:type="dxa"/>
            </w:tcMar>
          </w:tcPr>
          <w:p w14:paraId="0F069217"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3b</w:t>
            </w:r>
          </w:p>
        </w:tc>
        <w:tc>
          <w:tcPr>
            <w:tcW w:w="4305" w:type="dxa"/>
            <w:tcBorders>
              <w:top w:val="nil"/>
              <w:left w:val="nil"/>
              <w:bottom w:val="single" w:sz="8" w:space="0" w:color="000000"/>
              <w:right w:val="single" w:sz="8" w:space="0" w:color="000000"/>
            </w:tcBorders>
            <w:tcMar>
              <w:top w:w="0" w:type="dxa"/>
              <w:left w:w="20" w:type="dxa"/>
              <w:bottom w:w="0" w:type="dxa"/>
              <w:right w:w="20" w:type="dxa"/>
            </w:tcMar>
          </w:tcPr>
          <w:p w14:paraId="0A1F3C7F"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From business activities</w:t>
            </w:r>
          </w:p>
        </w:tc>
        <w:tc>
          <w:tcPr>
            <w:tcW w:w="1740" w:type="dxa"/>
            <w:tcBorders>
              <w:top w:val="nil"/>
              <w:left w:val="nil"/>
              <w:bottom w:val="single" w:sz="8" w:space="0" w:color="000000"/>
              <w:right w:val="single" w:sz="8" w:space="0" w:color="000000"/>
            </w:tcBorders>
            <w:tcMar>
              <w:top w:w="0" w:type="dxa"/>
              <w:left w:w="20" w:type="dxa"/>
              <w:bottom w:w="0" w:type="dxa"/>
              <w:right w:w="20" w:type="dxa"/>
            </w:tcMar>
          </w:tcPr>
          <w:p w14:paraId="6B609A31"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 xml:space="preserve"> </w:t>
            </w:r>
          </w:p>
        </w:tc>
        <w:tc>
          <w:tcPr>
            <w:tcW w:w="1845" w:type="dxa"/>
            <w:tcBorders>
              <w:top w:val="nil"/>
              <w:left w:val="nil"/>
              <w:bottom w:val="single" w:sz="8" w:space="0" w:color="000000"/>
              <w:right w:val="single" w:sz="8" w:space="0" w:color="000000"/>
            </w:tcBorders>
            <w:tcMar>
              <w:top w:w="0" w:type="dxa"/>
              <w:left w:w="20" w:type="dxa"/>
              <w:bottom w:w="0" w:type="dxa"/>
              <w:right w:w="20" w:type="dxa"/>
            </w:tcMar>
          </w:tcPr>
          <w:p w14:paraId="740843A2"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 xml:space="preserve"> </w:t>
            </w:r>
          </w:p>
        </w:tc>
      </w:tr>
      <w:tr w:rsidR="00352ACC" w14:paraId="381DF29A" w14:textId="77777777">
        <w:trPr>
          <w:trHeight w:val="495"/>
        </w:trPr>
        <w:tc>
          <w:tcPr>
            <w:tcW w:w="930" w:type="dxa"/>
            <w:tcBorders>
              <w:top w:val="nil"/>
              <w:left w:val="single" w:sz="8" w:space="0" w:color="000000"/>
              <w:bottom w:val="single" w:sz="8" w:space="0" w:color="000000"/>
              <w:right w:val="single" w:sz="8" w:space="0" w:color="000000"/>
            </w:tcBorders>
            <w:tcMar>
              <w:top w:w="0" w:type="dxa"/>
              <w:left w:w="20" w:type="dxa"/>
              <w:bottom w:w="0" w:type="dxa"/>
              <w:right w:w="20" w:type="dxa"/>
            </w:tcMar>
          </w:tcPr>
          <w:p w14:paraId="2D5CFBC5"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4</w:t>
            </w:r>
          </w:p>
        </w:tc>
        <w:tc>
          <w:tcPr>
            <w:tcW w:w="4305" w:type="dxa"/>
            <w:tcBorders>
              <w:top w:val="nil"/>
              <w:left w:val="nil"/>
              <w:bottom w:val="single" w:sz="8" w:space="0" w:color="000000"/>
              <w:right w:val="single" w:sz="8" w:space="0" w:color="000000"/>
            </w:tcBorders>
            <w:tcMar>
              <w:top w:w="0" w:type="dxa"/>
              <w:left w:w="20" w:type="dxa"/>
              <w:bottom w:w="0" w:type="dxa"/>
              <w:right w:w="20" w:type="dxa"/>
            </w:tcMar>
          </w:tcPr>
          <w:p w14:paraId="6333881C"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Profit after tax</w:t>
            </w:r>
          </w:p>
        </w:tc>
        <w:tc>
          <w:tcPr>
            <w:tcW w:w="1740" w:type="dxa"/>
            <w:tcBorders>
              <w:top w:val="nil"/>
              <w:left w:val="nil"/>
              <w:bottom w:val="single" w:sz="8" w:space="0" w:color="000000"/>
              <w:right w:val="single" w:sz="8" w:space="0" w:color="000000"/>
            </w:tcBorders>
            <w:tcMar>
              <w:top w:w="0" w:type="dxa"/>
              <w:left w:w="20" w:type="dxa"/>
              <w:bottom w:w="0" w:type="dxa"/>
              <w:right w:w="20" w:type="dxa"/>
            </w:tcMar>
          </w:tcPr>
          <w:p w14:paraId="4AF98851"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228,654,978</w:t>
            </w:r>
          </w:p>
        </w:tc>
        <w:tc>
          <w:tcPr>
            <w:tcW w:w="1845" w:type="dxa"/>
            <w:tcBorders>
              <w:top w:val="nil"/>
              <w:left w:val="nil"/>
              <w:bottom w:val="single" w:sz="8" w:space="0" w:color="000000"/>
              <w:right w:val="single" w:sz="8" w:space="0" w:color="000000"/>
            </w:tcBorders>
            <w:tcMar>
              <w:top w:w="0" w:type="dxa"/>
              <w:left w:w="20" w:type="dxa"/>
              <w:bottom w:w="0" w:type="dxa"/>
              <w:right w:w="20" w:type="dxa"/>
            </w:tcMar>
          </w:tcPr>
          <w:p w14:paraId="61EF65B6"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4=1-3</w:t>
            </w:r>
          </w:p>
        </w:tc>
      </w:tr>
      <w:tr w:rsidR="00352ACC" w14:paraId="49D89799" w14:textId="77777777">
        <w:trPr>
          <w:trHeight w:val="495"/>
        </w:trPr>
        <w:tc>
          <w:tcPr>
            <w:tcW w:w="930" w:type="dxa"/>
            <w:tcBorders>
              <w:top w:val="nil"/>
              <w:left w:val="single" w:sz="8" w:space="0" w:color="000000"/>
              <w:bottom w:val="single" w:sz="8" w:space="0" w:color="000000"/>
              <w:right w:val="single" w:sz="8" w:space="0" w:color="000000"/>
            </w:tcBorders>
            <w:tcMar>
              <w:top w:w="0" w:type="dxa"/>
              <w:left w:w="20" w:type="dxa"/>
              <w:bottom w:w="0" w:type="dxa"/>
              <w:right w:w="20" w:type="dxa"/>
            </w:tcMar>
          </w:tcPr>
          <w:p w14:paraId="6FF0BE9B"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4a</w:t>
            </w:r>
          </w:p>
        </w:tc>
        <w:tc>
          <w:tcPr>
            <w:tcW w:w="4305" w:type="dxa"/>
            <w:tcBorders>
              <w:top w:val="nil"/>
              <w:left w:val="nil"/>
              <w:bottom w:val="single" w:sz="8" w:space="0" w:color="000000"/>
              <w:right w:val="single" w:sz="8" w:space="0" w:color="000000"/>
            </w:tcBorders>
            <w:tcMar>
              <w:top w:w="0" w:type="dxa"/>
              <w:left w:w="20" w:type="dxa"/>
              <w:bottom w:w="0" w:type="dxa"/>
              <w:right w:w="20" w:type="dxa"/>
            </w:tcMar>
          </w:tcPr>
          <w:p w14:paraId="01CD3726"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Profit after tax from business activities</w:t>
            </w:r>
          </w:p>
        </w:tc>
        <w:tc>
          <w:tcPr>
            <w:tcW w:w="1740" w:type="dxa"/>
            <w:tcBorders>
              <w:top w:val="nil"/>
              <w:left w:val="nil"/>
              <w:bottom w:val="single" w:sz="8" w:space="0" w:color="000000"/>
              <w:right w:val="single" w:sz="8" w:space="0" w:color="000000"/>
            </w:tcBorders>
            <w:tcMar>
              <w:top w:w="0" w:type="dxa"/>
              <w:left w:w="20" w:type="dxa"/>
              <w:bottom w:w="0" w:type="dxa"/>
              <w:right w:w="20" w:type="dxa"/>
            </w:tcMar>
          </w:tcPr>
          <w:p w14:paraId="38C96394"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228,654,978</w:t>
            </w:r>
          </w:p>
        </w:tc>
        <w:tc>
          <w:tcPr>
            <w:tcW w:w="1845" w:type="dxa"/>
            <w:tcBorders>
              <w:top w:val="nil"/>
              <w:left w:val="nil"/>
              <w:bottom w:val="single" w:sz="8" w:space="0" w:color="000000"/>
              <w:right w:val="single" w:sz="8" w:space="0" w:color="000000"/>
            </w:tcBorders>
            <w:tcMar>
              <w:top w:w="0" w:type="dxa"/>
              <w:left w:w="20" w:type="dxa"/>
              <w:bottom w:w="0" w:type="dxa"/>
              <w:right w:w="20" w:type="dxa"/>
            </w:tcMar>
          </w:tcPr>
          <w:p w14:paraId="20FDF624"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 xml:space="preserve"> </w:t>
            </w:r>
          </w:p>
        </w:tc>
      </w:tr>
      <w:tr w:rsidR="00352ACC" w14:paraId="0C7F4036" w14:textId="77777777">
        <w:trPr>
          <w:trHeight w:val="495"/>
        </w:trPr>
        <w:tc>
          <w:tcPr>
            <w:tcW w:w="930" w:type="dxa"/>
            <w:tcBorders>
              <w:top w:val="nil"/>
              <w:left w:val="single" w:sz="8" w:space="0" w:color="000000"/>
              <w:bottom w:val="single" w:sz="8" w:space="0" w:color="000000"/>
              <w:right w:val="single" w:sz="8" w:space="0" w:color="000000"/>
            </w:tcBorders>
            <w:tcMar>
              <w:top w:w="0" w:type="dxa"/>
              <w:left w:w="20" w:type="dxa"/>
              <w:bottom w:w="0" w:type="dxa"/>
              <w:right w:w="20" w:type="dxa"/>
            </w:tcMar>
          </w:tcPr>
          <w:p w14:paraId="153C9E3A"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4b</w:t>
            </w:r>
          </w:p>
        </w:tc>
        <w:tc>
          <w:tcPr>
            <w:tcW w:w="4305" w:type="dxa"/>
            <w:tcBorders>
              <w:top w:val="nil"/>
              <w:left w:val="nil"/>
              <w:bottom w:val="single" w:sz="8" w:space="0" w:color="000000"/>
              <w:right w:val="single" w:sz="8" w:space="0" w:color="000000"/>
            </w:tcBorders>
            <w:tcMar>
              <w:top w:w="0" w:type="dxa"/>
              <w:left w:w="20" w:type="dxa"/>
              <w:bottom w:w="0" w:type="dxa"/>
              <w:right w:w="20" w:type="dxa"/>
            </w:tcMar>
          </w:tcPr>
          <w:p w14:paraId="518EE226"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Profit after tax from unrealized foreign exchange</w:t>
            </w:r>
          </w:p>
        </w:tc>
        <w:tc>
          <w:tcPr>
            <w:tcW w:w="1740" w:type="dxa"/>
            <w:tcBorders>
              <w:top w:val="nil"/>
              <w:left w:val="nil"/>
              <w:bottom w:val="single" w:sz="8" w:space="0" w:color="000000"/>
              <w:right w:val="single" w:sz="8" w:space="0" w:color="000000"/>
            </w:tcBorders>
            <w:tcMar>
              <w:top w:w="0" w:type="dxa"/>
              <w:left w:w="20" w:type="dxa"/>
              <w:bottom w:w="0" w:type="dxa"/>
              <w:right w:w="20" w:type="dxa"/>
            </w:tcMar>
          </w:tcPr>
          <w:p w14:paraId="7186A5CA"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 xml:space="preserve"> </w:t>
            </w:r>
          </w:p>
        </w:tc>
        <w:tc>
          <w:tcPr>
            <w:tcW w:w="1845" w:type="dxa"/>
            <w:tcBorders>
              <w:top w:val="nil"/>
              <w:left w:val="nil"/>
              <w:bottom w:val="single" w:sz="8" w:space="0" w:color="000000"/>
              <w:right w:val="single" w:sz="8" w:space="0" w:color="000000"/>
            </w:tcBorders>
            <w:tcMar>
              <w:top w:w="0" w:type="dxa"/>
              <w:left w:w="20" w:type="dxa"/>
              <w:bottom w:w="0" w:type="dxa"/>
              <w:right w:w="20" w:type="dxa"/>
            </w:tcMar>
          </w:tcPr>
          <w:p w14:paraId="55933C5B"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 xml:space="preserve"> </w:t>
            </w:r>
          </w:p>
        </w:tc>
      </w:tr>
      <w:tr w:rsidR="00352ACC" w14:paraId="0CB908CA" w14:textId="77777777">
        <w:trPr>
          <w:trHeight w:val="495"/>
        </w:trPr>
        <w:tc>
          <w:tcPr>
            <w:tcW w:w="930" w:type="dxa"/>
            <w:tcBorders>
              <w:top w:val="nil"/>
              <w:left w:val="single" w:sz="8" w:space="0" w:color="000000"/>
              <w:bottom w:val="single" w:sz="8" w:space="0" w:color="000000"/>
              <w:right w:val="single" w:sz="8" w:space="0" w:color="000000"/>
            </w:tcBorders>
            <w:tcMar>
              <w:top w:w="0" w:type="dxa"/>
              <w:left w:w="20" w:type="dxa"/>
              <w:bottom w:w="0" w:type="dxa"/>
              <w:right w:w="20" w:type="dxa"/>
            </w:tcMar>
          </w:tcPr>
          <w:p w14:paraId="08CF003B"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5</w:t>
            </w:r>
          </w:p>
        </w:tc>
        <w:tc>
          <w:tcPr>
            <w:tcW w:w="4305" w:type="dxa"/>
            <w:tcBorders>
              <w:top w:val="nil"/>
              <w:left w:val="nil"/>
              <w:bottom w:val="single" w:sz="8" w:space="0" w:color="000000"/>
              <w:right w:val="single" w:sz="8" w:space="0" w:color="000000"/>
            </w:tcBorders>
            <w:tcMar>
              <w:top w:w="0" w:type="dxa"/>
              <w:left w:w="20" w:type="dxa"/>
              <w:bottom w:w="0" w:type="dxa"/>
              <w:right w:w="20" w:type="dxa"/>
            </w:tcMar>
          </w:tcPr>
          <w:p w14:paraId="08489C26"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Dividend payment</w:t>
            </w:r>
          </w:p>
        </w:tc>
        <w:tc>
          <w:tcPr>
            <w:tcW w:w="1740" w:type="dxa"/>
            <w:tcBorders>
              <w:top w:val="nil"/>
              <w:left w:val="nil"/>
              <w:bottom w:val="single" w:sz="8" w:space="0" w:color="000000"/>
              <w:right w:val="single" w:sz="8" w:space="0" w:color="000000"/>
            </w:tcBorders>
            <w:tcMar>
              <w:top w:w="0" w:type="dxa"/>
              <w:left w:w="20" w:type="dxa"/>
              <w:bottom w:w="0" w:type="dxa"/>
              <w:right w:w="20" w:type="dxa"/>
            </w:tcMar>
          </w:tcPr>
          <w:p w14:paraId="649B0092"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 xml:space="preserve"> </w:t>
            </w:r>
          </w:p>
        </w:tc>
        <w:tc>
          <w:tcPr>
            <w:tcW w:w="1845" w:type="dxa"/>
            <w:tcBorders>
              <w:top w:val="nil"/>
              <w:left w:val="nil"/>
              <w:bottom w:val="single" w:sz="8" w:space="0" w:color="000000"/>
              <w:right w:val="single" w:sz="8" w:space="0" w:color="000000"/>
            </w:tcBorders>
            <w:tcMar>
              <w:top w:w="0" w:type="dxa"/>
              <w:left w:w="20" w:type="dxa"/>
              <w:bottom w:w="0" w:type="dxa"/>
              <w:right w:w="20" w:type="dxa"/>
            </w:tcMar>
          </w:tcPr>
          <w:p w14:paraId="2971C5AB"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 xml:space="preserve"> </w:t>
            </w:r>
          </w:p>
        </w:tc>
      </w:tr>
      <w:tr w:rsidR="00352ACC" w14:paraId="3E590E55" w14:textId="77777777">
        <w:trPr>
          <w:trHeight w:val="495"/>
        </w:trPr>
        <w:tc>
          <w:tcPr>
            <w:tcW w:w="930" w:type="dxa"/>
            <w:tcBorders>
              <w:top w:val="nil"/>
              <w:left w:val="single" w:sz="8" w:space="0" w:color="000000"/>
              <w:bottom w:val="single" w:sz="8" w:space="0" w:color="000000"/>
              <w:right w:val="single" w:sz="8" w:space="0" w:color="000000"/>
            </w:tcBorders>
            <w:tcMar>
              <w:top w:w="0" w:type="dxa"/>
              <w:left w:w="20" w:type="dxa"/>
              <w:bottom w:w="0" w:type="dxa"/>
              <w:right w:w="20" w:type="dxa"/>
            </w:tcMar>
          </w:tcPr>
          <w:p w14:paraId="3192F4CA"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6</w:t>
            </w:r>
          </w:p>
        </w:tc>
        <w:tc>
          <w:tcPr>
            <w:tcW w:w="4305" w:type="dxa"/>
            <w:tcBorders>
              <w:top w:val="nil"/>
              <w:left w:val="nil"/>
              <w:bottom w:val="single" w:sz="8" w:space="0" w:color="000000"/>
              <w:right w:val="single" w:sz="8" w:space="0" w:color="000000"/>
            </w:tcBorders>
            <w:tcMar>
              <w:top w:w="0" w:type="dxa"/>
              <w:left w:w="20" w:type="dxa"/>
              <w:bottom w:w="0" w:type="dxa"/>
              <w:right w:w="20" w:type="dxa"/>
            </w:tcMar>
          </w:tcPr>
          <w:p w14:paraId="6DC5C731"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 Investment and development fund.</w:t>
            </w:r>
          </w:p>
        </w:tc>
        <w:tc>
          <w:tcPr>
            <w:tcW w:w="1740" w:type="dxa"/>
            <w:tcBorders>
              <w:top w:val="nil"/>
              <w:left w:val="nil"/>
              <w:bottom w:val="single" w:sz="8" w:space="0" w:color="000000"/>
              <w:right w:val="single" w:sz="8" w:space="0" w:color="000000"/>
            </w:tcBorders>
            <w:tcMar>
              <w:top w:w="0" w:type="dxa"/>
              <w:left w:w="20" w:type="dxa"/>
              <w:bottom w:w="0" w:type="dxa"/>
              <w:right w:w="20" w:type="dxa"/>
            </w:tcMar>
          </w:tcPr>
          <w:p w14:paraId="57778C86"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 xml:space="preserve"> </w:t>
            </w:r>
          </w:p>
        </w:tc>
        <w:tc>
          <w:tcPr>
            <w:tcW w:w="1845" w:type="dxa"/>
            <w:tcBorders>
              <w:top w:val="nil"/>
              <w:left w:val="nil"/>
              <w:bottom w:val="single" w:sz="8" w:space="0" w:color="000000"/>
              <w:right w:val="single" w:sz="8" w:space="0" w:color="000000"/>
            </w:tcBorders>
            <w:tcMar>
              <w:top w:w="0" w:type="dxa"/>
              <w:left w:w="20" w:type="dxa"/>
              <w:bottom w:w="0" w:type="dxa"/>
              <w:right w:w="20" w:type="dxa"/>
            </w:tcMar>
          </w:tcPr>
          <w:p w14:paraId="2056D5E9"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 xml:space="preserve"> </w:t>
            </w:r>
          </w:p>
        </w:tc>
      </w:tr>
      <w:tr w:rsidR="00352ACC" w14:paraId="2043F6DD" w14:textId="77777777">
        <w:trPr>
          <w:trHeight w:val="855"/>
        </w:trPr>
        <w:tc>
          <w:tcPr>
            <w:tcW w:w="930" w:type="dxa"/>
            <w:tcBorders>
              <w:top w:val="nil"/>
              <w:left w:val="single" w:sz="8" w:space="0" w:color="000000"/>
              <w:bottom w:val="single" w:sz="8" w:space="0" w:color="000000"/>
              <w:right w:val="single" w:sz="8" w:space="0" w:color="000000"/>
            </w:tcBorders>
            <w:tcMar>
              <w:top w:w="0" w:type="dxa"/>
              <w:left w:w="20" w:type="dxa"/>
              <w:bottom w:w="0" w:type="dxa"/>
              <w:right w:w="20" w:type="dxa"/>
            </w:tcMar>
          </w:tcPr>
          <w:p w14:paraId="79879FAD"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7</w:t>
            </w:r>
          </w:p>
        </w:tc>
        <w:tc>
          <w:tcPr>
            <w:tcW w:w="4305" w:type="dxa"/>
            <w:tcBorders>
              <w:top w:val="nil"/>
              <w:left w:val="nil"/>
              <w:bottom w:val="single" w:sz="8" w:space="0" w:color="000000"/>
              <w:right w:val="single" w:sz="8" w:space="0" w:color="000000"/>
            </w:tcBorders>
            <w:tcMar>
              <w:top w:w="0" w:type="dxa"/>
              <w:left w:w="20" w:type="dxa"/>
              <w:bottom w:w="0" w:type="dxa"/>
              <w:right w:w="20" w:type="dxa"/>
            </w:tcMar>
          </w:tcPr>
          <w:p w14:paraId="6305B704"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Bonus fund for the Company's Management Board (rounded)</w:t>
            </w:r>
          </w:p>
        </w:tc>
        <w:tc>
          <w:tcPr>
            <w:tcW w:w="1740" w:type="dxa"/>
            <w:tcBorders>
              <w:top w:val="nil"/>
              <w:left w:val="nil"/>
              <w:bottom w:val="single" w:sz="8" w:space="0" w:color="000000"/>
              <w:right w:val="single" w:sz="8" w:space="0" w:color="000000"/>
            </w:tcBorders>
            <w:tcMar>
              <w:top w:w="0" w:type="dxa"/>
              <w:left w:w="20" w:type="dxa"/>
              <w:bottom w:w="0" w:type="dxa"/>
              <w:right w:w="20" w:type="dxa"/>
            </w:tcMar>
          </w:tcPr>
          <w:p w14:paraId="6D4B085D"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 xml:space="preserve"> </w:t>
            </w:r>
          </w:p>
        </w:tc>
        <w:tc>
          <w:tcPr>
            <w:tcW w:w="1845" w:type="dxa"/>
            <w:tcBorders>
              <w:top w:val="nil"/>
              <w:left w:val="nil"/>
              <w:bottom w:val="single" w:sz="8" w:space="0" w:color="000000"/>
              <w:right w:val="single" w:sz="8" w:space="0" w:color="000000"/>
            </w:tcBorders>
            <w:tcMar>
              <w:top w:w="0" w:type="dxa"/>
              <w:left w:w="20" w:type="dxa"/>
              <w:bottom w:w="0" w:type="dxa"/>
              <w:right w:w="20" w:type="dxa"/>
            </w:tcMar>
          </w:tcPr>
          <w:p w14:paraId="728CD7E9"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 xml:space="preserve"> </w:t>
            </w:r>
          </w:p>
        </w:tc>
      </w:tr>
      <w:tr w:rsidR="00352ACC" w14:paraId="39DB4CFB" w14:textId="77777777">
        <w:trPr>
          <w:trHeight w:val="495"/>
        </w:trPr>
        <w:tc>
          <w:tcPr>
            <w:tcW w:w="930" w:type="dxa"/>
            <w:tcBorders>
              <w:top w:val="nil"/>
              <w:left w:val="single" w:sz="8" w:space="0" w:color="000000"/>
              <w:bottom w:val="single" w:sz="8" w:space="0" w:color="000000"/>
              <w:right w:val="single" w:sz="8" w:space="0" w:color="000000"/>
            </w:tcBorders>
            <w:tcMar>
              <w:top w:w="0" w:type="dxa"/>
              <w:left w:w="20" w:type="dxa"/>
              <w:bottom w:w="0" w:type="dxa"/>
              <w:right w:w="20" w:type="dxa"/>
            </w:tcMar>
          </w:tcPr>
          <w:p w14:paraId="6A624171"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8</w:t>
            </w:r>
          </w:p>
        </w:tc>
        <w:tc>
          <w:tcPr>
            <w:tcW w:w="4305" w:type="dxa"/>
            <w:tcBorders>
              <w:top w:val="nil"/>
              <w:left w:val="nil"/>
              <w:bottom w:val="single" w:sz="8" w:space="0" w:color="000000"/>
              <w:right w:val="single" w:sz="8" w:space="0" w:color="000000"/>
            </w:tcBorders>
            <w:tcMar>
              <w:top w:w="0" w:type="dxa"/>
              <w:left w:w="20" w:type="dxa"/>
              <w:bottom w:w="0" w:type="dxa"/>
              <w:right w:w="20" w:type="dxa"/>
            </w:tcMar>
          </w:tcPr>
          <w:p w14:paraId="56757EFD"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Bonus and welfare fund</w:t>
            </w:r>
          </w:p>
        </w:tc>
        <w:tc>
          <w:tcPr>
            <w:tcW w:w="1740" w:type="dxa"/>
            <w:tcBorders>
              <w:top w:val="nil"/>
              <w:left w:val="nil"/>
              <w:bottom w:val="single" w:sz="8" w:space="0" w:color="000000"/>
              <w:right w:val="single" w:sz="8" w:space="0" w:color="000000"/>
            </w:tcBorders>
            <w:tcMar>
              <w:top w:w="0" w:type="dxa"/>
              <w:left w:w="20" w:type="dxa"/>
              <w:bottom w:w="0" w:type="dxa"/>
              <w:right w:w="20" w:type="dxa"/>
            </w:tcMar>
          </w:tcPr>
          <w:p w14:paraId="7495A22C"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228,654,978</w:t>
            </w:r>
          </w:p>
        </w:tc>
        <w:tc>
          <w:tcPr>
            <w:tcW w:w="1845" w:type="dxa"/>
            <w:tcBorders>
              <w:top w:val="nil"/>
              <w:left w:val="nil"/>
              <w:bottom w:val="single" w:sz="8" w:space="0" w:color="000000"/>
              <w:right w:val="single" w:sz="8" w:space="0" w:color="000000"/>
            </w:tcBorders>
            <w:tcMar>
              <w:top w:w="0" w:type="dxa"/>
              <w:left w:w="20" w:type="dxa"/>
              <w:bottom w:w="0" w:type="dxa"/>
              <w:right w:w="20" w:type="dxa"/>
            </w:tcMar>
          </w:tcPr>
          <w:p w14:paraId="2B7B7243" w14:textId="77777777" w:rsidR="00352ACC" w:rsidRDefault="00827E15">
            <w:pPr>
              <w:tabs>
                <w:tab w:val="left" w:pos="284"/>
              </w:tabs>
              <w:spacing w:before="240" w:after="120" w:line="360" w:lineRule="auto"/>
              <w:rPr>
                <w:rFonts w:ascii="Arial" w:eastAsia="Arial" w:hAnsi="Arial" w:cs="Arial"/>
                <w:color w:val="010000"/>
                <w:sz w:val="20"/>
                <w:szCs w:val="20"/>
              </w:rPr>
            </w:pPr>
            <w:r>
              <w:rPr>
                <w:rFonts w:ascii="Arial" w:hAnsi="Arial"/>
                <w:color w:val="010000"/>
                <w:sz w:val="20"/>
              </w:rPr>
              <w:t>8 =( 4- 5- 6-7)</w:t>
            </w:r>
          </w:p>
        </w:tc>
      </w:tr>
    </w:tbl>
    <w:p w14:paraId="2D250E74" w14:textId="77777777" w:rsidR="00352ACC" w:rsidRDefault="00827E15">
      <w:pPr>
        <w:numPr>
          <w:ilvl w:val="0"/>
          <w:numId w:val="1"/>
        </w:numPr>
        <w:pBdr>
          <w:top w:val="nil"/>
          <w:left w:val="nil"/>
          <w:bottom w:val="nil"/>
          <w:right w:val="nil"/>
          <w:between w:val="nil"/>
        </w:pBdr>
        <w:tabs>
          <w:tab w:val="left" w:pos="284"/>
          <w:tab w:val="left" w:pos="1490"/>
        </w:tabs>
        <w:spacing w:after="120" w:line="360" w:lineRule="auto"/>
        <w:rPr>
          <w:rFonts w:ascii="Arial" w:eastAsia="Arial" w:hAnsi="Arial" w:cs="Arial"/>
          <w:color w:val="010000"/>
          <w:sz w:val="20"/>
          <w:szCs w:val="20"/>
        </w:rPr>
      </w:pPr>
      <w:r>
        <w:rPr>
          <w:rFonts w:ascii="Arial" w:hAnsi="Arial"/>
          <w:color w:val="010000"/>
          <w:sz w:val="20"/>
        </w:rPr>
        <w:t xml:space="preserve">Report on the settlement of salary fund and remuneration of members of the Board of Directors, </w:t>
      </w:r>
      <w:r>
        <w:rPr>
          <w:rFonts w:ascii="Arial" w:hAnsi="Arial"/>
          <w:color w:val="010000"/>
          <w:sz w:val="20"/>
        </w:rPr>
        <w:lastRenderedPageBreak/>
        <w:t>members of the Supervisory Board, and the Executive Board in 2023, in which:</w:t>
      </w:r>
    </w:p>
    <w:p w14:paraId="01A846BF" w14:textId="77777777" w:rsidR="00352ACC" w:rsidRDefault="00827E15">
      <w:pPr>
        <w:numPr>
          <w:ilvl w:val="0"/>
          <w:numId w:val="2"/>
        </w:numPr>
        <w:pBdr>
          <w:top w:val="nil"/>
          <w:left w:val="nil"/>
          <w:bottom w:val="nil"/>
          <w:right w:val="nil"/>
          <w:between w:val="nil"/>
        </w:pBdr>
        <w:tabs>
          <w:tab w:val="left" w:pos="284"/>
          <w:tab w:val="left" w:pos="1327"/>
        </w:tabs>
        <w:spacing w:after="120" w:line="360" w:lineRule="auto"/>
        <w:rPr>
          <w:rFonts w:ascii="Arial" w:eastAsia="Arial" w:hAnsi="Arial" w:cs="Arial"/>
          <w:color w:val="010000"/>
          <w:sz w:val="20"/>
          <w:szCs w:val="20"/>
        </w:rPr>
      </w:pPr>
      <w:r>
        <w:rPr>
          <w:rFonts w:ascii="Arial" w:hAnsi="Arial"/>
          <w:color w:val="010000"/>
          <w:sz w:val="20"/>
        </w:rPr>
        <w:t>Total remuneration of the Board of Directors: VND 437,610,000</w:t>
      </w:r>
    </w:p>
    <w:p w14:paraId="2FAEAF41" w14:textId="77777777" w:rsidR="00352ACC" w:rsidRDefault="00827E15">
      <w:pPr>
        <w:numPr>
          <w:ilvl w:val="0"/>
          <w:numId w:val="2"/>
        </w:numPr>
        <w:pBdr>
          <w:top w:val="nil"/>
          <w:left w:val="nil"/>
          <w:bottom w:val="nil"/>
          <w:right w:val="nil"/>
          <w:between w:val="nil"/>
        </w:pBdr>
        <w:tabs>
          <w:tab w:val="left" w:pos="284"/>
          <w:tab w:val="left" w:pos="1332"/>
        </w:tabs>
        <w:spacing w:after="120" w:line="360" w:lineRule="auto"/>
        <w:rPr>
          <w:rFonts w:ascii="Arial" w:eastAsia="Arial" w:hAnsi="Arial" w:cs="Arial"/>
          <w:color w:val="010000"/>
          <w:sz w:val="20"/>
          <w:szCs w:val="20"/>
        </w:rPr>
      </w:pPr>
      <w:r>
        <w:rPr>
          <w:rFonts w:ascii="Arial" w:hAnsi="Arial"/>
          <w:color w:val="010000"/>
          <w:sz w:val="20"/>
        </w:rPr>
        <w:t>Total remuneration of the Supervisory Board: VND 193,010,000</w:t>
      </w:r>
    </w:p>
    <w:p w14:paraId="5B862E59" w14:textId="77777777" w:rsidR="00352ACC" w:rsidRDefault="00827E15">
      <w:pPr>
        <w:numPr>
          <w:ilvl w:val="0"/>
          <w:numId w:val="2"/>
        </w:numPr>
        <w:pBdr>
          <w:top w:val="nil"/>
          <w:left w:val="nil"/>
          <w:bottom w:val="nil"/>
          <w:right w:val="nil"/>
          <w:between w:val="nil"/>
        </w:pBdr>
        <w:tabs>
          <w:tab w:val="left" w:pos="284"/>
          <w:tab w:val="left" w:pos="1342"/>
        </w:tabs>
        <w:spacing w:after="120" w:line="360" w:lineRule="auto"/>
        <w:rPr>
          <w:rFonts w:ascii="Arial" w:eastAsia="Arial" w:hAnsi="Arial" w:cs="Arial"/>
          <w:color w:val="010000"/>
          <w:sz w:val="20"/>
          <w:szCs w:val="20"/>
        </w:rPr>
      </w:pPr>
      <w:r>
        <w:rPr>
          <w:rFonts w:ascii="Arial" w:hAnsi="Arial"/>
          <w:color w:val="010000"/>
          <w:sz w:val="20"/>
        </w:rPr>
        <w:t>Total salary fund of the Executive Board: VND 803,122,727</w:t>
      </w:r>
    </w:p>
    <w:p w14:paraId="45ACFA97" w14:textId="77777777" w:rsidR="00352ACC" w:rsidRDefault="00827E15">
      <w:pPr>
        <w:numPr>
          <w:ilvl w:val="0"/>
          <w:numId w:val="1"/>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Pr>
          <w:rFonts w:ascii="Arial" w:hAnsi="Arial"/>
          <w:color w:val="010000"/>
          <w:sz w:val="20"/>
        </w:rPr>
        <w:t>Proposal on the plan and budget for salary, remuneration of the Board of Directors, Supervisory Board, and Executive Board in 2024.</w:t>
      </w:r>
    </w:p>
    <w:p w14:paraId="18164461" w14:textId="77777777" w:rsidR="00352ACC" w:rsidRDefault="00827E15">
      <w:pPr>
        <w:numPr>
          <w:ilvl w:val="0"/>
          <w:numId w:val="2"/>
        </w:numPr>
        <w:pBdr>
          <w:top w:val="nil"/>
          <w:left w:val="nil"/>
          <w:bottom w:val="nil"/>
          <w:right w:val="nil"/>
          <w:between w:val="nil"/>
        </w:pBdr>
        <w:tabs>
          <w:tab w:val="left" w:pos="284"/>
          <w:tab w:val="left" w:pos="1342"/>
        </w:tabs>
        <w:spacing w:after="120" w:line="360" w:lineRule="auto"/>
        <w:rPr>
          <w:rFonts w:ascii="Arial" w:eastAsia="Arial" w:hAnsi="Arial" w:cs="Arial"/>
          <w:color w:val="010000"/>
          <w:sz w:val="20"/>
          <w:szCs w:val="20"/>
        </w:rPr>
      </w:pPr>
      <w:r>
        <w:rPr>
          <w:rFonts w:ascii="Arial" w:hAnsi="Arial"/>
          <w:color w:val="010000"/>
          <w:sz w:val="20"/>
        </w:rPr>
        <w:t>Total remuneration of the Board of Directors: VND 295,200,000</w:t>
      </w:r>
    </w:p>
    <w:p w14:paraId="294A08B1" w14:textId="77777777" w:rsidR="00352ACC" w:rsidRDefault="00827E15">
      <w:pPr>
        <w:numPr>
          <w:ilvl w:val="0"/>
          <w:numId w:val="2"/>
        </w:numPr>
        <w:pBdr>
          <w:top w:val="nil"/>
          <w:left w:val="nil"/>
          <w:bottom w:val="nil"/>
          <w:right w:val="nil"/>
          <w:between w:val="nil"/>
        </w:pBdr>
        <w:tabs>
          <w:tab w:val="left" w:pos="284"/>
          <w:tab w:val="left" w:pos="1342"/>
        </w:tabs>
        <w:spacing w:after="120" w:line="360" w:lineRule="auto"/>
        <w:rPr>
          <w:rFonts w:ascii="Arial" w:eastAsia="Arial" w:hAnsi="Arial" w:cs="Arial"/>
          <w:color w:val="010000"/>
          <w:sz w:val="20"/>
          <w:szCs w:val="20"/>
        </w:rPr>
      </w:pPr>
      <w:r>
        <w:rPr>
          <w:rFonts w:ascii="Arial" w:hAnsi="Arial"/>
          <w:color w:val="010000"/>
          <w:sz w:val="20"/>
        </w:rPr>
        <w:t>Total remuneration of the Supervisory Board: VND 181,200,000</w:t>
      </w:r>
    </w:p>
    <w:p w14:paraId="183C44C5" w14:textId="77777777" w:rsidR="00352ACC" w:rsidRDefault="00827E15">
      <w:pPr>
        <w:numPr>
          <w:ilvl w:val="0"/>
          <w:numId w:val="2"/>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Pr>
          <w:rFonts w:ascii="Arial" w:hAnsi="Arial"/>
          <w:color w:val="010000"/>
          <w:sz w:val="20"/>
        </w:rPr>
        <w:t>Total salary fund of the Executive Board: VND 930,000,000</w:t>
      </w:r>
    </w:p>
    <w:p w14:paraId="5B270491" w14:textId="77777777" w:rsidR="00352ACC" w:rsidRDefault="00827E15">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2. Organization and Implementation:</w:t>
      </w:r>
    </w:p>
    <w:p w14:paraId="02E72810" w14:textId="77777777" w:rsidR="00352ACC" w:rsidRDefault="00827E15">
      <w:pPr>
        <w:numPr>
          <w:ilvl w:val="0"/>
          <w:numId w:val="3"/>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Pr>
          <w:rFonts w:ascii="Arial" w:hAnsi="Arial"/>
          <w:color w:val="010000"/>
          <w:sz w:val="20"/>
        </w:rPr>
        <w:t xml:space="preserve">The General Meeting of Shareholders authorizes the Board of Directors of </w:t>
      </w:r>
      <w:proofErr w:type="spellStart"/>
      <w:r>
        <w:rPr>
          <w:rFonts w:ascii="Arial" w:hAnsi="Arial"/>
          <w:color w:val="010000"/>
          <w:sz w:val="20"/>
        </w:rPr>
        <w:t>Petrolimex</w:t>
      </w:r>
      <w:proofErr w:type="spellEnd"/>
      <w:r>
        <w:rPr>
          <w:rFonts w:ascii="Arial" w:hAnsi="Arial"/>
          <w:color w:val="010000"/>
          <w:sz w:val="20"/>
        </w:rPr>
        <w:t xml:space="preserve"> Engineering Joint Stock Company to implement the contents approved by the General Meeting of Shareholders in this General Mandate and carry out the necessary procedures to comply with the law and this General Mandate.</w:t>
      </w:r>
    </w:p>
    <w:p w14:paraId="78F8AB2D" w14:textId="77777777" w:rsidR="00352ACC" w:rsidRDefault="00827E15">
      <w:pPr>
        <w:numPr>
          <w:ilvl w:val="0"/>
          <w:numId w:val="3"/>
        </w:numPr>
        <w:pBdr>
          <w:top w:val="nil"/>
          <w:left w:val="nil"/>
          <w:bottom w:val="nil"/>
          <w:right w:val="nil"/>
          <w:between w:val="nil"/>
        </w:pBdr>
        <w:tabs>
          <w:tab w:val="left" w:pos="284"/>
          <w:tab w:val="left" w:pos="1670"/>
        </w:tabs>
        <w:spacing w:after="120" w:line="360" w:lineRule="auto"/>
        <w:rPr>
          <w:rFonts w:ascii="Arial" w:eastAsia="Arial" w:hAnsi="Arial" w:cs="Arial"/>
          <w:color w:val="010000"/>
          <w:sz w:val="20"/>
          <w:szCs w:val="20"/>
        </w:rPr>
      </w:pPr>
      <w:r>
        <w:rPr>
          <w:rFonts w:ascii="Arial" w:hAnsi="Arial"/>
          <w:color w:val="010000"/>
          <w:sz w:val="20"/>
        </w:rPr>
        <w:t xml:space="preserve">This General Mandate was approved by the Annual General Meeting of Shareholders 2024 of </w:t>
      </w:r>
      <w:proofErr w:type="spellStart"/>
      <w:r>
        <w:rPr>
          <w:rFonts w:ascii="Arial" w:hAnsi="Arial"/>
          <w:color w:val="010000"/>
          <w:sz w:val="20"/>
        </w:rPr>
        <w:t>Petrolimex</w:t>
      </w:r>
      <w:proofErr w:type="spellEnd"/>
      <w:r>
        <w:rPr>
          <w:rFonts w:ascii="Arial" w:hAnsi="Arial"/>
          <w:color w:val="010000"/>
          <w:sz w:val="20"/>
        </w:rPr>
        <w:t xml:space="preserve"> Engineering Joint Stock Company and takes effect from April 16, 2024.</w:t>
      </w:r>
    </w:p>
    <w:p w14:paraId="76CBD47C" w14:textId="77777777" w:rsidR="00352ACC" w:rsidRDefault="00827E15">
      <w:pPr>
        <w:numPr>
          <w:ilvl w:val="0"/>
          <w:numId w:val="3"/>
        </w:numPr>
        <w:pBdr>
          <w:top w:val="nil"/>
          <w:left w:val="nil"/>
          <w:bottom w:val="nil"/>
          <w:right w:val="nil"/>
          <w:between w:val="nil"/>
        </w:pBdr>
        <w:tabs>
          <w:tab w:val="left" w:pos="284"/>
          <w:tab w:val="left" w:pos="1670"/>
        </w:tabs>
        <w:spacing w:after="120" w:line="360" w:lineRule="auto"/>
        <w:rPr>
          <w:rFonts w:ascii="Arial" w:eastAsia="Arial" w:hAnsi="Arial" w:cs="Arial"/>
          <w:color w:val="010000"/>
          <w:sz w:val="20"/>
          <w:szCs w:val="20"/>
        </w:rPr>
      </w:pPr>
      <w:r>
        <w:rPr>
          <w:rFonts w:ascii="Arial" w:hAnsi="Arial"/>
          <w:color w:val="010000"/>
          <w:sz w:val="20"/>
        </w:rPr>
        <w:t>All shareholders, the Board of Directors, the Supervisory Board, the Board of Managers, and relevant organizations and individuals are responsible for implementing this General Mandate./.</w:t>
      </w:r>
    </w:p>
    <w:sectPr w:rsidR="00352ACC">
      <w:pgSz w:w="11907" w:h="16839"/>
      <w:pgMar w:top="1440" w:right="1440" w:bottom="1440" w:left="1440" w:header="0" w:footer="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52E08"/>
    <w:multiLevelType w:val="multilevel"/>
    <w:tmpl w:val="6D2CCB72"/>
    <w:lvl w:ilvl="0">
      <w:start w:val="1"/>
      <w:numFmt w:val="bullet"/>
      <w:lvlText w:val="-"/>
      <w:lvlJc w:val="left"/>
      <w:pPr>
        <w:ind w:left="0" w:firstLine="0"/>
      </w:pPr>
      <w:rPr>
        <w:rFonts w:ascii="Arial" w:eastAsia="Arial" w:hAnsi="Arial" w:cs="Arial"/>
        <w:b w:val="0"/>
        <w:i w:val="0"/>
        <w:smallCaps w:val="0"/>
        <w:strike w:val="0"/>
        <w:color w:val="444444"/>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79C718E"/>
    <w:multiLevelType w:val="multilevel"/>
    <w:tmpl w:val="601A25D4"/>
    <w:lvl w:ilvl="0">
      <w:start w:val="1"/>
      <w:numFmt w:val="decimal"/>
      <w:lvlText w:val="%1."/>
      <w:lvlJc w:val="left"/>
      <w:pPr>
        <w:ind w:left="0" w:firstLine="0"/>
      </w:pPr>
      <w:rPr>
        <w:rFonts w:ascii="Arial" w:eastAsia="Arial" w:hAnsi="Arial" w:cs="Arial"/>
        <w:b w:val="0"/>
        <w:i w:val="0"/>
        <w:smallCaps w:val="0"/>
        <w:strike w:val="0"/>
        <w:color w:val="1E1E1E"/>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AF5602D"/>
    <w:multiLevelType w:val="multilevel"/>
    <w:tmpl w:val="B0B8099E"/>
    <w:lvl w:ilvl="0">
      <w:start w:val="1"/>
      <w:numFmt w:val="decimal"/>
      <w:lvlText w:val="%1."/>
      <w:lvlJc w:val="left"/>
      <w:pPr>
        <w:ind w:left="0" w:firstLine="0"/>
      </w:pPr>
      <w:rPr>
        <w:rFonts w:ascii="Arial" w:eastAsia="Arial" w:hAnsi="Arial" w:cs="Arial"/>
        <w:b w:val="0"/>
        <w:i w:val="0"/>
        <w:smallCaps w:val="0"/>
        <w:strike w:val="0"/>
        <w:color w:val="1E1E1E"/>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CC"/>
    <w:rsid w:val="00352ACC"/>
    <w:rsid w:val="00827E15"/>
    <w:rsid w:val="00E55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0EA5"/>
  <w15:docId w15:val="{654041E5-782C-4398-9F17-A1071BE0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E1E1E"/>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color w:val="DA515B"/>
      <w:sz w:val="17"/>
      <w:szCs w:val="17"/>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1E1E1E"/>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8"/>
      <w:szCs w:val="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strike w:val="0"/>
      <w:color w:val="DA515B"/>
      <w:sz w:val="26"/>
      <w:szCs w:val="26"/>
      <w:u w:val="none"/>
      <w:shd w:val="clear" w:color="auto" w:fill="auto"/>
    </w:rPr>
  </w:style>
  <w:style w:type="paragraph" w:customStyle="1" w:styleId="Vnbnnidung0">
    <w:name w:val="Văn bản nội dung"/>
    <w:basedOn w:val="Normal"/>
    <w:link w:val="Vnbnnidung"/>
    <w:pPr>
      <w:spacing w:line="298" w:lineRule="auto"/>
    </w:pPr>
    <w:rPr>
      <w:rFonts w:ascii="Times New Roman" w:eastAsia="Times New Roman" w:hAnsi="Times New Roman" w:cs="Times New Roman"/>
      <w:color w:val="1E1E1E"/>
    </w:rPr>
  </w:style>
  <w:style w:type="paragraph" w:customStyle="1" w:styleId="Vnbnnidung50">
    <w:name w:val="Văn bản nội dung (5)"/>
    <w:basedOn w:val="Normal"/>
    <w:link w:val="Vnbnnidung5"/>
    <w:pPr>
      <w:spacing w:line="276" w:lineRule="auto"/>
      <w:ind w:firstLine="260"/>
    </w:pPr>
    <w:rPr>
      <w:rFonts w:ascii="Arial" w:eastAsia="Arial" w:hAnsi="Arial" w:cs="Arial"/>
      <w:b/>
      <w:bCs/>
      <w:color w:val="DA515B"/>
      <w:sz w:val="17"/>
      <w:szCs w:val="17"/>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rPr>
  </w:style>
  <w:style w:type="paragraph" w:customStyle="1" w:styleId="Chthchbng0">
    <w:name w:val="Chú thích bảng"/>
    <w:basedOn w:val="Normal"/>
    <w:link w:val="Chthchbng"/>
    <w:rPr>
      <w:rFonts w:ascii="Times New Roman" w:eastAsia="Times New Roman" w:hAnsi="Times New Roman" w:cs="Times New Roman"/>
      <w:sz w:val="20"/>
      <w:szCs w:val="20"/>
    </w:rPr>
  </w:style>
  <w:style w:type="paragraph" w:customStyle="1" w:styleId="Khc0">
    <w:name w:val="Khác"/>
    <w:basedOn w:val="Normal"/>
    <w:link w:val="Khc"/>
    <w:pPr>
      <w:spacing w:line="298" w:lineRule="auto"/>
    </w:pPr>
    <w:rPr>
      <w:rFonts w:ascii="Times New Roman" w:eastAsia="Times New Roman" w:hAnsi="Times New Roman" w:cs="Times New Roman"/>
      <w:color w:val="1E1E1E"/>
    </w:rPr>
  </w:style>
  <w:style w:type="paragraph" w:customStyle="1" w:styleId="Tiu20">
    <w:name w:val="Tiêu đề #2"/>
    <w:basedOn w:val="Normal"/>
    <w:link w:val="Tiu2"/>
    <w:pPr>
      <w:spacing w:line="269" w:lineRule="auto"/>
      <w:jc w:val="center"/>
      <w:outlineLvl w:val="1"/>
    </w:pPr>
    <w:rPr>
      <w:rFonts w:ascii="Times New Roman" w:eastAsia="Times New Roman" w:hAnsi="Times New Roman" w:cs="Times New Roman"/>
      <w:b/>
      <w:bCs/>
    </w:rPr>
  </w:style>
  <w:style w:type="paragraph" w:customStyle="1" w:styleId="Vnbnnidung30">
    <w:name w:val="Văn bản nội dung (3)"/>
    <w:basedOn w:val="Normal"/>
    <w:link w:val="Vnbnnidung3"/>
    <w:pPr>
      <w:spacing w:line="257" w:lineRule="auto"/>
      <w:ind w:left="1320"/>
    </w:pPr>
    <w:rPr>
      <w:rFonts w:ascii="Arial" w:eastAsia="Arial" w:hAnsi="Arial" w:cs="Arial"/>
      <w:sz w:val="8"/>
      <w:szCs w:val="8"/>
    </w:rPr>
  </w:style>
  <w:style w:type="paragraph" w:customStyle="1" w:styleId="Vnbnnidung40">
    <w:name w:val="Văn bản nội dung (4)"/>
    <w:basedOn w:val="Normal"/>
    <w:link w:val="Vnbnnidung4"/>
    <w:rPr>
      <w:rFonts w:ascii="Arial" w:eastAsia="Arial" w:hAnsi="Arial" w:cs="Arial"/>
      <w:sz w:val="20"/>
      <w:szCs w:val="20"/>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customStyle="1" w:styleId="Vnbnnidung60">
    <w:name w:val="Văn bản nội dung (6)"/>
    <w:basedOn w:val="Normal"/>
    <w:link w:val="Vnbnnidung6"/>
    <w:rPr>
      <w:rFonts w:ascii="Arial" w:eastAsia="Arial" w:hAnsi="Arial" w:cs="Arial"/>
      <w:smallCaps/>
      <w:color w:val="DA515B"/>
      <w:sz w:val="26"/>
      <w:szCs w:val="26"/>
    </w:rPr>
  </w:style>
  <w:style w:type="paragraph" w:styleId="ListParagraph">
    <w:name w:val="List Paragraph"/>
    <w:basedOn w:val="Normal"/>
    <w:uiPriority w:val="34"/>
    <w:qFormat/>
    <w:rsid w:val="003F4C2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8j5lXgJnrPz/9Npf5gcuwGWetQ==">CgMxLjAyCGguZ2pkZ3hzOAByITF5d29YNTU3QmlaeXZfeHVUeVNlYkZaZlJCUmZsdXI5UA==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2024-04-23T03:28:00Z</dcterms:created>
  <dcterms:modified xsi:type="dcterms:W3CDTF">2024-04-23T03:28:00Z</dcterms:modified>
</cp:coreProperties>
</file>