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C42B"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0E3482">
        <w:rPr>
          <w:rFonts w:ascii="Arial" w:hAnsi="Arial" w:cs="Arial"/>
          <w:b/>
          <w:color w:val="010000"/>
          <w:sz w:val="20"/>
          <w:szCs w:val="20"/>
        </w:rPr>
        <w:t>SEP: Annual General Mandate 2024</w:t>
      </w:r>
    </w:p>
    <w:p w14:paraId="586A7797"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On April 15, 2024, Quang Tri General Trading Joint Stock Company announced General Mandate No. 37/2024/NQ-DHDCD as follows:</w:t>
      </w:r>
    </w:p>
    <w:p w14:paraId="077AD11F"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‎‎Article 1. Approve the General Manager's Report on business performance in 2023 and the audited Financial Statements for 2024. The business plan 2024;</w:t>
      </w:r>
    </w:p>
    <w:p w14:paraId="0DB55002"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‎‎Article 2. Approve the Report on the activities of the Board of Directors in 2023 and the operational orientation in 2024</w:t>
      </w:r>
    </w:p>
    <w:p w14:paraId="7FCB039C" w14:textId="77777777" w:rsidR="003955B8" w:rsidRPr="000E3482" w:rsidRDefault="000E3482" w:rsidP="00757407">
      <w:pPr>
        <w:keepNext/>
        <w:numPr>
          <w:ilvl w:val="0"/>
          <w:numId w:val="1"/>
        </w:numPr>
        <w:pBdr>
          <w:top w:val="nil"/>
          <w:left w:val="nil"/>
          <w:bottom w:val="nil"/>
          <w:right w:val="nil"/>
          <w:between w:val="nil"/>
        </w:pBdr>
        <w:tabs>
          <w:tab w:val="left" w:pos="360"/>
          <w:tab w:val="left" w:pos="2108"/>
        </w:tabs>
        <w:spacing w:after="120" w:line="360" w:lineRule="auto"/>
        <w:jc w:val="both"/>
        <w:rPr>
          <w:rFonts w:ascii="Arial" w:hAnsi="Arial" w:cs="Arial"/>
          <w:color w:val="010000"/>
          <w:sz w:val="20"/>
          <w:szCs w:val="20"/>
        </w:rPr>
      </w:pPr>
      <w:r w:rsidRPr="000E3482">
        <w:rPr>
          <w:rFonts w:ascii="Arial" w:hAnsi="Arial" w:cs="Arial"/>
          <w:color w:val="010000"/>
          <w:sz w:val="20"/>
          <w:szCs w:val="20"/>
        </w:rPr>
        <w:t>Production and business results in 2023:</w:t>
      </w:r>
    </w:p>
    <w:p w14:paraId="2A56824A" w14:textId="77777777" w:rsidR="003955B8" w:rsidRPr="000E3482" w:rsidRDefault="000E3482" w:rsidP="00757407">
      <w:pPr>
        <w:numPr>
          <w:ilvl w:val="0"/>
          <w:numId w:val="2"/>
        </w:numPr>
        <w:pBdr>
          <w:top w:val="nil"/>
          <w:left w:val="nil"/>
          <w:bottom w:val="nil"/>
          <w:right w:val="nil"/>
          <w:between w:val="nil"/>
        </w:pBdr>
        <w:tabs>
          <w:tab w:val="left" w:pos="360"/>
          <w:tab w:val="left" w:pos="2412"/>
        </w:tabs>
        <w:spacing w:after="120" w:line="360" w:lineRule="auto"/>
        <w:jc w:val="both"/>
        <w:rPr>
          <w:rFonts w:ascii="Arial" w:hAnsi="Arial" w:cs="Arial"/>
          <w:color w:val="010000"/>
          <w:sz w:val="20"/>
          <w:szCs w:val="20"/>
        </w:rPr>
      </w:pPr>
      <w:r w:rsidRPr="000E3482">
        <w:rPr>
          <w:rFonts w:ascii="Arial" w:hAnsi="Arial" w:cs="Arial"/>
          <w:color w:val="010000"/>
          <w:sz w:val="20"/>
          <w:szCs w:val="20"/>
        </w:rPr>
        <w:t>Revenue: VND 1,435 billion, reaching 96% of the plan</w:t>
      </w:r>
    </w:p>
    <w:p w14:paraId="53D12C38" w14:textId="77777777" w:rsidR="003955B8" w:rsidRPr="000E3482" w:rsidRDefault="000E3482" w:rsidP="00757407">
      <w:pPr>
        <w:numPr>
          <w:ilvl w:val="0"/>
          <w:numId w:val="2"/>
        </w:numPr>
        <w:pBdr>
          <w:top w:val="nil"/>
          <w:left w:val="nil"/>
          <w:bottom w:val="nil"/>
          <w:right w:val="nil"/>
          <w:between w:val="nil"/>
        </w:pBdr>
        <w:tabs>
          <w:tab w:val="left" w:pos="360"/>
          <w:tab w:val="left" w:pos="2412"/>
        </w:tabs>
        <w:spacing w:after="120" w:line="360" w:lineRule="auto"/>
        <w:jc w:val="both"/>
        <w:rPr>
          <w:rFonts w:ascii="Arial" w:hAnsi="Arial" w:cs="Arial"/>
          <w:color w:val="010000"/>
          <w:sz w:val="20"/>
          <w:szCs w:val="20"/>
        </w:rPr>
      </w:pPr>
      <w:r w:rsidRPr="000E3482">
        <w:rPr>
          <w:rFonts w:ascii="Arial" w:hAnsi="Arial" w:cs="Arial"/>
          <w:color w:val="010000"/>
          <w:sz w:val="20"/>
          <w:szCs w:val="20"/>
        </w:rPr>
        <w:t>Local budget contribution: VND 75.7 billion, reaching 126% of the plan</w:t>
      </w:r>
    </w:p>
    <w:p w14:paraId="1A9A4A4C" w14:textId="1F967BE4" w:rsidR="003955B8" w:rsidRPr="000E3482" w:rsidRDefault="000E3482" w:rsidP="00757407">
      <w:pPr>
        <w:numPr>
          <w:ilvl w:val="0"/>
          <w:numId w:val="2"/>
        </w:numPr>
        <w:pBdr>
          <w:top w:val="nil"/>
          <w:left w:val="nil"/>
          <w:bottom w:val="nil"/>
          <w:right w:val="nil"/>
          <w:between w:val="nil"/>
        </w:pBdr>
        <w:tabs>
          <w:tab w:val="left" w:pos="360"/>
          <w:tab w:val="left" w:pos="2412"/>
        </w:tabs>
        <w:spacing w:after="120" w:line="360" w:lineRule="auto"/>
        <w:jc w:val="both"/>
        <w:rPr>
          <w:rFonts w:ascii="Arial" w:hAnsi="Arial" w:cs="Arial"/>
          <w:color w:val="010000"/>
          <w:sz w:val="20"/>
          <w:szCs w:val="20"/>
        </w:rPr>
      </w:pPr>
      <w:r w:rsidRPr="000E3482">
        <w:rPr>
          <w:rFonts w:ascii="Arial" w:hAnsi="Arial" w:cs="Arial"/>
          <w:color w:val="010000"/>
          <w:sz w:val="20"/>
          <w:szCs w:val="20"/>
        </w:rPr>
        <w:t>Profit: VND 17.031 billion, reaching 100% of the plan</w:t>
      </w:r>
      <w:r w:rsidR="00E9542E">
        <w:rPr>
          <w:rFonts w:ascii="Arial" w:hAnsi="Arial" w:cs="Arial"/>
          <w:color w:val="010000"/>
          <w:sz w:val="20"/>
          <w:szCs w:val="20"/>
        </w:rPr>
        <w:t xml:space="preserve"> </w:t>
      </w:r>
    </w:p>
    <w:p w14:paraId="2C20F2F1" w14:textId="77777777" w:rsidR="003955B8" w:rsidRPr="000E3482" w:rsidRDefault="000E3482" w:rsidP="00757407">
      <w:pPr>
        <w:numPr>
          <w:ilvl w:val="0"/>
          <w:numId w:val="2"/>
        </w:numPr>
        <w:pBdr>
          <w:top w:val="nil"/>
          <w:left w:val="nil"/>
          <w:bottom w:val="nil"/>
          <w:right w:val="nil"/>
          <w:between w:val="nil"/>
        </w:pBdr>
        <w:tabs>
          <w:tab w:val="left" w:pos="360"/>
          <w:tab w:val="left" w:pos="2412"/>
        </w:tabs>
        <w:spacing w:after="120" w:line="360" w:lineRule="auto"/>
        <w:jc w:val="both"/>
        <w:rPr>
          <w:rFonts w:ascii="Arial" w:hAnsi="Arial" w:cs="Arial"/>
          <w:color w:val="010000"/>
          <w:sz w:val="20"/>
          <w:szCs w:val="20"/>
        </w:rPr>
      </w:pPr>
      <w:r w:rsidRPr="000E3482">
        <w:rPr>
          <w:rFonts w:ascii="Arial" w:hAnsi="Arial" w:cs="Arial"/>
          <w:color w:val="010000"/>
          <w:sz w:val="20"/>
          <w:szCs w:val="20"/>
        </w:rPr>
        <w:t>Average income of employees: VND 13 million/person/month.</w:t>
      </w:r>
    </w:p>
    <w:p w14:paraId="0714DD46" w14:textId="77777777" w:rsidR="003955B8" w:rsidRPr="000E3482" w:rsidRDefault="000E3482" w:rsidP="00757407">
      <w:pPr>
        <w:keepNext/>
        <w:numPr>
          <w:ilvl w:val="0"/>
          <w:numId w:val="1"/>
        </w:numPr>
        <w:pBdr>
          <w:top w:val="nil"/>
          <w:left w:val="nil"/>
          <w:bottom w:val="nil"/>
          <w:right w:val="nil"/>
          <w:between w:val="nil"/>
        </w:pBdr>
        <w:tabs>
          <w:tab w:val="left" w:pos="360"/>
          <w:tab w:val="left" w:pos="2127"/>
        </w:tabs>
        <w:spacing w:after="120" w:line="360" w:lineRule="auto"/>
        <w:jc w:val="both"/>
        <w:rPr>
          <w:rFonts w:ascii="Arial" w:hAnsi="Arial" w:cs="Arial"/>
          <w:color w:val="010000"/>
          <w:sz w:val="20"/>
          <w:szCs w:val="20"/>
        </w:rPr>
      </w:pPr>
      <w:r w:rsidRPr="000E3482">
        <w:rPr>
          <w:rFonts w:ascii="Arial" w:hAnsi="Arial" w:cs="Arial"/>
          <w:color w:val="010000"/>
          <w:sz w:val="20"/>
          <w:szCs w:val="20"/>
        </w:rPr>
        <w:t>Task orientation in 2024</w:t>
      </w:r>
    </w:p>
    <w:p w14:paraId="4679721D" w14:textId="2B48B05F" w:rsidR="003955B8" w:rsidRPr="000E3482" w:rsidRDefault="000E3482" w:rsidP="00757407">
      <w:pPr>
        <w:numPr>
          <w:ilvl w:val="0"/>
          <w:numId w:val="3"/>
        </w:numPr>
        <w:pBdr>
          <w:top w:val="nil"/>
          <w:left w:val="nil"/>
          <w:bottom w:val="nil"/>
          <w:right w:val="nil"/>
          <w:between w:val="nil"/>
        </w:pBdr>
        <w:tabs>
          <w:tab w:val="left" w:pos="360"/>
          <w:tab w:val="left" w:pos="2412"/>
        </w:tabs>
        <w:spacing w:after="120" w:line="360" w:lineRule="auto"/>
        <w:jc w:val="both"/>
        <w:rPr>
          <w:rFonts w:ascii="Arial" w:hAnsi="Arial" w:cs="Arial"/>
          <w:color w:val="010000"/>
          <w:sz w:val="20"/>
          <w:szCs w:val="20"/>
        </w:rPr>
      </w:pPr>
      <w:r w:rsidRPr="000E3482">
        <w:rPr>
          <w:rFonts w:ascii="Arial" w:hAnsi="Arial" w:cs="Arial"/>
          <w:color w:val="010000"/>
          <w:sz w:val="20"/>
          <w:szCs w:val="20"/>
        </w:rPr>
        <w:t xml:space="preserve">Revenue: VND 1,550 </w:t>
      </w:r>
      <w:r>
        <w:rPr>
          <w:rFonts w:ascii="Arial" w:hAnsi="Arial" w:cs="Arial"/>
          <w:color w:val="010000"/>
          <w:sz w:val="20"/>
          <w:szCs w:val="20"/>
        </w:rPr>
        <w:t>b</w:t>
      </w:r>
      <w:r w:rsidRPr="000E3482">
        <w:rPr>
          <w:rFonts w:ascii="Arial" w:hAnsi="Arial" w:cs="Arial"/>
          <w:color w:val="010000"/>
          <w:sz w:val="20"/>
          <w:szCs w:val="20"/>
        </w:rPr>
        <w:t>illion.</w:t>
      </w:r>
    </w:p>
    <w:p w14:paraId="3C1B9867" w14:textId="2F5523C2" w:rsidR="003955B8" w:rsidRPr="000E3482" w:rsidRDefault="000E3482" w:rsidP="00757407">
      <w:pPr>
        <w:numPr>
          <w:ilvl w:val="0"/>
          <w:numId w:val="3"/>
        </w:numPr>
        <w:pBdr>
          <w:top w:val="nil"/>
          <w:left w:val="nil"/>
          <w:bottom w:val="nil"/>
          <w:right w:val="nil"/>
          <w:between w:val="nil"/>
        </w:pBdr>
        <w:tabs>
          <w:tab w:val="left" w:pos="360"/>
          <w:tab w:val="left" w:pos="2412"/>
        </w:tabs>
        <w:spacing w:after="120" w:line="360" w:lineRule="auto"/>
        <w:jc w:val="both"/>
        <w:rPr>
          <w:rFonts w:ascii="Arial" w:hAnsi="Arial" w:cs="Arial"/>
          <w:color w:val="010000"/>
          <w:sz w:val="20"/>
          <w:szCs w:val="20"/>
        </w:rPr>
      </w:pPr>
      <w:r w:rsidRPr="000E3482">
        <w:rPr>
          <w:rFonts w:ascii="Arial" w:hAnsi="Arial" w:cs="Arial"/>
          <w:color w:val="010000"/>
          <w:sz w:val="20"/>
          <w:szCs w:val="20"/>
        </w:rPr>
        <w:t xml:space="preserve">Local budget contribution: VND 60 </w:t>
      </w:r>
      <w:r>
        <w:rPr>
          <w:rFonts w:ascii="Arial" w:hAnsi="Arial" w:cs="Arial"/>
          <w:color w:val="010000"/>
          <w:sz w:val="20"/>
          <w:szCs w:val="20"/>
        </w:rPr>
        <w:t>b</w:t>
      </w:r>
      <w:r w:rsidRPr="000E3482">
        <w:rPr>
          <w:rFonts w:ascii="Arial" w:hAnsi="Arial" w:cs="Arial"/>
          <w:color w:val="010000"/>
          <w:sz w:val="20"/>
          <w:szCs w:val="20"/>
        </w:rPr>
        <w:t>illion.</w:t>
      </w:r>
    </w:p>
    <w:p w14:paraId="09B28768" w14:textId="77777777" w:rsidR="003955B8" w:rsidRPr="000E3482" w:rsidRDefault="000E3482" w:rsidP="00757407">
      <w:pPr>
        <w:numPr>
          <w:ilvl w:val="0"/>
          <w:numId w:val="3"/>
        </w:numPr>
        <w:pBdr>
          <w:top w:val="nil"/>
          <w:left w:val="nil"/>
          <w:bottom w:val="nil"/>
          <w:right w:val="nil"/>
          <w:between w:val="nil"/>
        </w:pBdr>
        <w:tabs>
          <w:tab w:val="left" w:pos="360"/>
          <w:tab w:val="left" w:pos="2412"/>
        </w:tabs>
        <w:spacing w:after="120" w:line="360" w:lineRule="auto"/>
        <w:jc w:val="both"/>
        <w:rPr>
          <w:rFonts w:ascii="Arial" w:hAnsi="Arial" w:cs="Arial"/>
          <w:color w:val="010000"/>
          <w:sz w:val="20"/>
          <w:szCs w:val="20"/>
        </w:rPr>
      </w:pPr>
      <w:r w:rsidRPr="000E3482">
        <w:rPr>
          <w:rFonts w:ascii="Arial" w:hAnsi="Arial" w:cs="Arial"/>
          <w:color w:val="010000"/>
          <w:sz w:val="20"/>
          <w:szCs w:val="20"/>
        </w:rPr>
        <w:t>Average income of employees: VND 13 million/person/month</w:t>
      </w:r>
    </w:p>
    <w:p w14:paraId="2101480C" w14:textId="77777777" w:rsidR="003955B8" w:rsidRPr="000E3482" w:rsidRDefault="000E3482" w:rsidP="00757407">
      <w:pPr>
        <w:numPr>
          <w:ilvl w:val="0"/>
          <w:numId w:val="3"/>
        </w:numPr>
        <w:pBdr>
          <w:top w:val="nil"/>
          <w:left w:val="nil"/>
          <w:bottom w:val="nil"/>
          <w:right w:val="nil"/>
          <w:between w:val="nil"/>
        </w:pBdr>
        <w:tabs>
          <w:tab w:val="left" w:pos="360"/>
          <w:tab w:val="left" w:pos="2412"/>
        </w:tabs>
        <w:spacing w:after="120" w:line="360" w:lineRule="auto"/>
        <w:jc w:val="both"/>
        <w:rPr>
          <w:rFonts w:ascii="Arial" w:hAnsi="Arial" w:cs="Arial"/>
          <w:color w:val="010000"/>
          <w:sz w:val="20"/>
          <w:szCs w:val="20"/>
        </w:rPr>
      </w:pPr>
      <w:r w:rsidRPr="000E3482">
        <w:rPr>
          <w:rFonts w:ascii="Arial" w:hAnsi="Arial" w:cs="Arial"/>
          <w:color w:val="010000"/>
          <w:sz w:val="20"/>
          <w:szCs w:val="20"/>
        </w:rPr>
        <w:t xml:space="preserve">Profit: </w:t>
      </w:r>
      <w:r w:rsidRPr="000E3482">
        <w:rPr>
          <w:rFonts w:ascii="Arial" w:hAnsi="Arial" w:cs="Arial"/>
          <w:sz w:val="20"/>
          <w:szCs w:val="20"/>
        </w:rPr>
        <w:t xml:space="preserve">≥VND 5 billion </w:t>
      </w:r>
    </w:p>
    <w:p w14:paraId="4935AEBA" w14:textId="77777777" w:rsidR="003955B8" w:rsidRPr="000E3482" w:rsidRDefault="000E3482" w:rsidP="00757407">
      <w:pPr>
        <w:numPr>
          <w:ilvl w:val="0"/>
          <w:numId w:val="3"/>
        </w:numPr>
        <w:pBdr>
          <w:top w:val="nil"/>
          <w:left w:val="nil"/>
          <w:bottom w:val="nil"/>
          <w:right w:val="nil"/>
          <w:between w:val="nil"/>
        </w:pBdr>
        <w:tabs>
          <w:tab w:val="left" w:pos="360"/>
          <w:tab w:val="left" w:pos="2417"/>
        </w:tabs>
        <w:spacing w:after="120" w:line="360" w:lineRule="auto"/>
        <w:jc w:val="both"/>
        <w:rPr>
          <w:rFonts w:ascii="Arial" w:hAnsi="Arial" w:cs="Arial"/>
          <w:color w:val="010000"/>
          <w:sz w:val="20"/>
          <w:szCs w:val="20"/>
        </w:rPr>
      </w:pPr>
      <w:r w:rsidRPr="000E3482">
        <w:rPr>
          <w:rFonts w:ascii="Arial" w:hAnsi="Arial" w:cs="Arial"/>
          <w:color w:val="010000"/>
          <w:sz w:val="20"/>
          <w:szCs w:val="20"/>
        </w:rPr>
        <w:t xml:space="preserve">Dividends: </w:t>
      </w:r>
      <w:r w:rsidRPr="000E3482">
        <w:rPr>
          <w:rFonts w:ascii="Arial" w:hAnsi="Arial" w:cs="Arial"/>
          <w:sz w:val="20"/>
          <w:szCs w:val="20"/>
        </w:rPr>
        <w:t>≥5%/year</w:t>
      </w:r>
    </w:p>
    <w:p w14:paraId="2B7D0285" w14:textId="77777777" w:rsidR="003955B8" w:rsidRPr="000E3482" w:rsidRDefault="000E3482" w:rsidP="00757407">
      <w:pPr>
        <w:numPr>
          <w:ilvl w:val="0"/>
          <w:numId w:val="3"/>
        </w:numPr>
        <w:pBdr>
          <w:top w:val="nil"/>
          <w:left w:val="nil"/>
          <w:bottom w:val="nil"/>
          <w:right w:val="nil"/>
          <w:between w:val="nil"/>
        </w:pBdr>
        <w:tabs>
          <w:tab w:val="left" w:pos="360"/>
          <w:tab w:val="left" w:pos="2420"/>
        </w:tabs>
        <w:spacing w:after="120" w:line="360" w:lineRule="auto"/>
        <w:jc w:val="both"/>
        <w:rPr>
          <w:rFonts w:ascii="Arial" w:hAnsi="Arial" w:cs="Arial"/>
          <w:color w:val="010000"/>
          <w:sz w:val="20"/>
          <w:szCs w:val="20"/>
        </w:rPr>
      </w:pPr>
      <w:r w:rsidRPr="000E3482">
        <w:rPr>
          <w:rFonts w:ascii="Arial" w:hAnsi="Arial" w:cs="Arial"/>
          <w:color w:val="010000"/>
          <w:sz w:val="20"/>
          <w:szCs w:val="20"/>
        </w:rPr>
        <w:t>Strictly direct the implementation of the contents of the General Mandate, promptly issue guidelines and orientations to direct and operate all aspects of activities, overcome existing limitations and weaknesses;</w:t>
      </w:r>
    </w:p>
    <w:p w14:paraId="75D65FD6" w14:textId="77777777" w:rsidR="003955B8" w:rsidRPr="000E3482" w:rsidRDefault="000E3482" w:rsidP="00757407">
      <w:pPr>
        <w:numPr>
          <w:ilvl w:val="0"/>
          <w:numId w:val="3"/>
        </w:numPr>
        <w:pBdr>
          <w:top w:val="nil"/>
          <w:left w:val="nil"/>
          <w:bottom w:val="nil"/>
          <w:right w:val="nil"/>
          <w:between w:val="nil"/>
        </w:pBdr>
        <w:tabs>
          <w:tab w:val="left" w:pos="360"/>
          <w:tab w:val="left" w:pos="2415"/>
        </w:tabs>
        <w:spacing w:after="120" w:line="360" w:lineRule="auto"/>
        <w:jc w:val="both"/>
        <w:rPr>
          <w:rFonts w:ascii="Arial" w:hAnsi="Arial" w:cs="Arial"/>
          <w:color w:val="010000"/>
          <w:sz w:val="20"/>
          <w:szCs w:val="20"/>
        </w:rPr>
      </w:pPr>
      <w:r w:rsidRPr="000E3482">
        <w:rPr>
          <w:rFonts w:ascii="Arial" w:hAnsi="Arial" w:cs="Arial"/>
          <w:color w:val="010000"/>
          <w:sz w:val="20"/>
          <w:szCs w:val="20"/>
        </w:rPr>
        <w:t>Financial management must be strict, maintain good contract management, control and inspection, and prevent new bad debts from arising.</w:t>
      </w:r>
    </w:p>
    <w:p w14:paraId="3C27856F"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‎‎Article 3. Approve the Supervisory Board's Report on the Company's production and business performance, the activities of the Board of Directors, the General Manager and the Supervisory Board in 2023; operational orientation for 2024.</w:t>
      </w:r>
    </w:p>
    <w:p w14:paraId="5336D45B"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In the plan for 2024, the Supervisory Board will supervise the management and administration of the Board of Directors and the Board of Management in: Implement the contents approved by the General Meeting of Shareholders; Results of implementing the production and business plan for 2024; Compliance with the provisions of the law and the Company's charter; Management and use of assets, capital, investment plans, procurement; Annual dividend payment...</w:t>
      </w:r>
    </w:p>
    <w:p w14:paraId="797D8983"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‎‎Article 4. Approve the selection of the Audit Company for 2024</w:t>
      </w:r>
    </w:p>
    <w:p w14:paraId="60115A5A" w14:textId="509E738B"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 xml:space="preserve">AAC Auditing </w:t>
      </w:r>
      <w:r>
        <w:rPr>
          <w:rFonts w:ascii="Arial" w:hAnsi="Arial" w:cs="Arial"/>
          <w:color w:val="010000"/>
          <w:sz w:val="20"/>
          <w:szCs w:val="20"/>
        </w:rPr>
        <w:t>a</w:t>
      </w:r>
      <w:r w:rsidRPr="000E3482">
        <w:rPr>
          <w:rFonts w:ascii="Arial" w:hAnsi="Arial" w:cs="Arial"/>
          <w:color w:val="010000"/>
          <w:sz w:val="20"/>
          <w:szCs w:val="20"/>
        </w:rPr>
        <w:t xml:space="preserve">nd Accounting Company is the company to audit the company's Financial Statements </w:t>
      </w:r>
      <w:r w:rsidRPr="000E3482">
        <w:rPr>
          <w:rFonts w:ascii="Arial" w:hAnsi="Arial" w:cs="Arial"/>
          <w:color w:val="010000"/>
          <w:sz w:val="20"/>
          <w:szCs w:val="20"/>
        </w:rPr>
        <w:lastRenderedPageBreak/>
        <w:t>for 2024.</w:t>
      </w:r>
    </w:p>
    <w:p w14:paraId="14C420F7" w14:textId="69C36BE4"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‎‎Article 5. Approve the plan for profit distribution, fund appropriation, and dividend distribution for 2023 (Unit: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0"/>
        <w:gridCol w:w="6067"/>
        <w:gridCol w:w="2090"/>
      </w:tblGrid>
      <w:tr w:rsidR="003955B8" w:rsidRPr="000E3482" w14:paraId="1240A7D7" w14:textId="77777777">
        <w:tc>
          <w:tcPr>
            <w:tcW w:w="860" w:type="dxa"/>
            <w:shd w:val="clear" w:color="auto" w:fill="auto"/>
            <w:tcMar>
              <w:top w:w="0" w:type="dxa"/>
              <w:bottom w:w="0" w:type="dxa"/>
            </w:tcMar>
            <w:vAlign w:val="center"/>
          </w:tcPr>
          <w:p w14:paraId="43315748"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1</w:t>
            </w:r>
          </w:p>
        </w:tc>
        <w:tc>
          <w:tcPr>
            <w:tcW w:w="6067" w:type="dxa"/>
            <w:shd w:val="clear" w:color="auto" w:fill="auto"/>
            <w:tcMar>
              <w:top w:w="0" w:type="dxa"/>
              <w:bottom w:w="0" w:type="dxa"/>
            </w:tcMar>
            <w:vAlign w:val="center"/>
          </w:tcPr>
          <w:p w14:paraId="56EE3DCC" w14:textId="77777777" w:rsidR="003955B8" w:rsidRPr="000E3482" w:rsidRDefault="000E3482" w:rsidP="00757407">
            <w:pPr>
              <w:pBdr>
                <w:top w:val="nil"/>
                <w:left w:val="nil"/>
                <w:bottom w:val="nil"/>
                <w:right w:val="nil"/>
                <w:between w:val="nil"/>
              </w:pBdr>
              <w:tabs>
                <w:tab w:val="left" w:pos="360"/>
                <w:tab w:val="left" w:pos="974"/>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Profit before tax in 2023</w:t>
            </w:r>
          </w:p>
        </w:tc>
        <w:tc>
          <w:tcPr>
            <w:tcW w:w="2090" w:type="dxa"/>
            <w:shd w:val="clear" w:color="auto" w:fill="auto"/>
            <w:tcMar>
              <w:top w:w="0" w:type="dxa"/>
              <w:bottom w:w="0" w:type="dxa"/>
            </w:tcMar>
            <w:vAlign w:val="center"/>
          </w:tcPr>
          <w:p w14:paraId="0CC59062" w14:textId="77777777" w:rsidR="003955B8" w:rsidRPr="000E3482" w:rsidRDefault="000E3482" w:rsidP="00E9542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0E3482">
              <w:rPr>
                <w:rFonts w:ascii="Arial" w:hAnsi="Arial" w:cs="Arial"/>
                <w:color w:val="010000"/>
                <w:sz w:val="20"/>
                <w:szCs w:val="20"/>
              </w:rPr>
              <w:t>17,031,140,201</w:t>
            </w:r>
          </w:p>
        </w:tc>
      </w:tr>
      <w:tr w:rsidR="003955B8" w:rsidRPr="000E3482" w14:paraId="79755CAC" w14:textId="77777777">
        <w:tc>
          <w:tcPr>
            <w:tcW w:w="860" w:type="dxa"/>
            <w:shd w:val="clear" w:color="auto" w:fill="auto"/>
            <w:tcMar>
              <w:top w:w="0" w:type="dxa"/>
              <w:bottom w:w="0" w:type="dxa"/>
            </w:tcMar>
            <w:vAlign w:val="center"/>
          </w:tcPr>
          <w:p w14:paraId="5573AB56"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w:t>
            </w:r>
          </w:p>
        </w:tc>
        <w:tc>
          <w:tcPr>
            <w:tcW w:w="6067" w:type="dxa"/>
            <w:shd w:val="clear" w:color="auto" w:fill="auto"/>
            <w:tcMar>
              <w:top w:w="0" w:type="dxa"/>
              <w:bottom w:w="0" w:type="dxa"/>
            </w:tcMar>
            <w:vAlign w:val="center"/>
          </w:tcPr>
          <w:p w14:paraId="5180DFFA"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Corporate income tax payment (Tax exempted)</w:t>
            </w:r>
          </w:p>
        </w:tc>
        <w:tc>
          <w:tcPr>
            <w:tcW w:w="2090" w:type="dxa"/>
            <w:shd w:val="clear" w:color="auto" w:fill="auto"/>
            <w:tcMar>
              <w:top w:w="0" w:type="dxa"/>
              <w:bottom w:w="0" w:type="dxa"/>
            </w:tcMar>
            <w:vAlign w:val="center"/>
          </w:tcPr>
          <w:p w14:paraId="581D5C93" w14:textId="77777777" w:rsidR="003955B8" w:rsidRPr="000E3482" w:rsidRDefault="000E3482" w:rsidP="00E9542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0E3482">
              <w:rPr>
                <w:rFonts w:ascii="Arial" w:hAnsi="Arial" w:cs="Arial"/>
                <w:color w:val="010000"/>
                <w:sz w:val="20"/>
                <w:szCs w:val="20"/>
              </w:rPr>
              <w:t>0</w:t>
            </w:r>
          </w:p>
        </w:tc>
      </w:tr>
      <w:tr w:rsidR="003955B8" w:rsidRPr="000E3482" w14:paraId="67599E53" w14:textId="77777777">
        <w:tc>
          <w:tcPr>
            <w:tcW w:w="860" w:type="dxa"/>
            <w:shd w:val="clear" w:color="auto" w:fill="auto"/>
            <w:tcMar>
              <w:top w:w="0" w:type="dxa"/>
              <w:bottom w:w="0" w:type="dxa"/>
            </w:tcMar>
            <w:vAlign w:val="center"/>
          </w:tcPr>
          <w:p w14:paraId="26713A8E"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b</w:t>
            </w:r>
          </w:p>
        </w:tc>
        <w:tc>
          <w:tcPr>
            <w:tcW w:w="6067" w:type="dxa"/>
            <w:shd w:val="clear" w:color="auto" w:fill="auto"/>
            <w:tcMar>
              <w:top w:w="0" w:type="dxa"/>
              <w:bottom w:w="0" w:type="dxa"/>
            </w:tcMar>
            <w:vAlign w:val="center"/>
          </w:tcPr>
          <w:p w14:paraId="60E02E07"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Appropriation for development and investment fund (2%)</w:t>
            </w:r>
          </w:p>
        </w:tc>
        <w:tc>
          <w:tcPr>
            <w:tcW w:w="2090" w:type="dxa"/>
            <w:shd w:val="clear" w:color="auto" w:fill="auto"/>
            <w:tcMar>
              <w:top w:w="0" w:type="dxa"/>
              <w:bottom w:w="0" w:type="dxa"/>
            </w:tcMar>
            <w:vAlign w:val="center"/>
          </w:tcPr>
          <w:p w14:paraId="1352B796" w14:textId="77777777" w:rsidR="003955B8" w:rsidRPr="000E3482" w:rsidRDefault="000E3482" w:rsidP="00E9542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0E3482">
              <w:rPr>
                <w:rFonts w:ascii="Arial" w:hAnsi="Arial" w:cs="Arial"/>
                <w:color w:val="010000"/>
                <w:sz w:val="20"/>
                <w:szCs w:val="20"/>
              </w:rPr>
              <w:t>340,622,804</w:t>
            </w:r>
          </w:p>
        </w:tc>
      </w:tr>
      <w:tr w:rsidR="003955B8" w:rsidRPr="000E3482" w14:paraId="414E72B7" w14:textId="77777777">
        <w:tc>
          <w:tcPr>
            <w:tcW w:w="860" w:type="dxa"/>
            <w:shd w:val="clear" w:color="auto" w:fill="auto"/>
            <w:tcMar>
              <w:top w:w="0" w:type="dxa"/>
              <w:bottom w:w="0" w:type="dxa"/>
            </w:tcMar>
            <w:vAlign w:val="center"/>
          </w:tcPr>
          <w:p w14:paraId="741BD621"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c</w:t>
            </w:r>
          </w:p>
        </w:tc>
        <w:tc>
          <w:tcPr>
            <w:tcW w:w="6067" w:type="dxa"/>
            <w:shd w:val="clear" w:color="auto" w:fill="auto"/>
            <w:tcMar>
              <w:top w:w="0" w:type="dxa"/>
              <w:bottom w:w="0" w:type="dxa"/>
            </w:tcMar>
            <w:vAlign w:val="center"/>
          </w:tcPr>
          <w:p w14:paraId="6AF2931E"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Reward fund appropriation (8%)</w:t>
            </w:r>
          </w:p>
        </w:tc>
        <w:tc>
          <w:tcPr>
            <w:tcW w:w="2090" w:type="dxa"/>
            <w:shd w:val="clear" w:color="auto" w:fill="auto"/>
            <w:tcMar>
              <w:top w:w="0" w:type="dxa"/>
              <w:bottom w:w="0" w:type="dxa"/>
            </w:tcMar>
            <w:vAlign w:val="center"/>
          </w:tcPr>
          <w:p w14:paraId="7702CBB9" w14:textId="77777777" w:rsidR="003955B8" w:rsidRPr="000E3482" w:rsidRDefault="000E3482" w:rsidP="00E9542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0E3482">
              <w:rPr>
                <w:rFonts w:ascii="Arial" w:hAnsi="Arial" w:cs="Arial"/>
                <w:color w:val="010000"/>
                <w:sz w:val="20"/>
                <w:szCs w:val="20"/>
              </w:rPr>
              <w:t>1,362,491,216</w:t>
            </w:r>
          </w:p>
        </w:tc>
        <w:bookmarkStart w:id="0" w:name="_GoBack"/>
        <w:bookmarkEnd w:id="0"/>
      </w:tr>
      <w:tr w:rsidR="003955B8" w:rsidRPr="000E3482" w14:paraId="2908FB53" w14:textId="77777777">
        <w:tc>
          <w:tcPr>
            <w:tcW w:w="860" w:type="dxa"/>
            <w:shd w:val="clear" w:color="auto" w:fill="auto"/>
            <w:tcMar>
              <w:top w:w="0" w:type="dxa"/>
              <w:bottom w:w="0" w:type="dxa"/>
            </w:tcMar>
            <w:vAlign w:val="center"/>
          </w:tcPr>
          <w:p w14:paraId="7993AFB8"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d</w:t>
            </w:r>
          </w:p>
        </w:tc>
        <w:tc>
          <w:tcPr>
            <w:tcW w:w="6067" w:type="dxa"/>
            <w:shd w:val="clear" w:color="auto" w:fill="auto"/>
            <w:tcMar>
              <w:top w:w="0" w:type="dxa"/>
              <w:bottom w:w="0" w:type="dxa"/>
            </w:tcMar>
            <w:vAlign w:val="center"/>
          </w:tcPr>
          <w:p w14:paraId="31C90C7F"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Welfare fund appropriation (5.167%)</w:t>
            </w:r>
          </w:p>
        </w:tc>
        <w:tc>
          <w:tcPr>
            <w:tcW w:w="2090" w:type="dxa"/>
            <w:shd w:val="clear" w:color="auto" w:fill="auto"/>
            <w:tcMar>
              <w:top w:w="0" w:type="dxa"/>
              <w:bottom w:w="0" w:type="dxa"/>
            </w:tcMar>
            <w:vAlign w:val="center"/>
          </w:tcPr>
          <w:p w14:paraId="08F13849" w14:textId="77777777" w:rsidR="003955B8" w:rsidRPr="000E3482" w:rsidRDefault="000E3482" w:rsidP="00E9542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0E3482">
              <w:rPr>
                <w:rFonts w:ascii="Arial" w:hAnsi="Arial" w:cs="Arial"/>
                <w:color w:val="010000"/>
                <w:sz w:val="20"/>
                <w:szCs w:val="20"/>
              </w:rPr>
              <w:t>880,026,181</w:t>
            </w:r>
          </w:p>
        </w:tc>
      </w:tr>
      <w:tr w:rsidR="003955B8" w:rsidRPr="000E3482" w14:paraId="69C6108F" w14:textId="77777777">
        <w:tc>
          <w:tcPr>
            <w:tcW w:w="860" w:type="dxa"/>
            <w:shd w:val="clear" w:color="auto" w:fill="auto"/>
            <w:tcMar>
              <w:top w:w="0" w:type="dxa"/>
              <w:bottom w:w="0" w:type="dxa"/>
            </w:tcMar>
            <w:vAlign w:val="center"/>
          </w:tcPr>
          <w:p w14:paraId="589E5879"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2</w:t>
            </w:r>
          </w:p>
        </w:tc>
        <w:tc>
          <w:tcPr>
            <w:tcW w:w="6067" w:type="dxa"/>
            <w:shd w:val="clear" w:color="auto" w:fill="auto"/>
            <w:tcMar>
              <w:top w:w="0" w:type="dxa"/>
              <w:bottom w:w="0" w:type="dxa"/>
            </w:tcMar>
            <w:vAlign w:val="center"/>
          </w:tcPr>
          <w:p w14:paraId="4DB4F212"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Distributable profit after tax and fund appropriation:</w:t>
            </w:r>
          </w:p>
        </w:tc>
        <w:tc>
          <w:tcPr>
            <w:tcW w:w="2090" w:type="dxa"/>
            <w:shd w:val="clear" w:color="auto" w:fill="auto"/>
            <w:tcMar>
              <w:top w:w="0" w:type="dxa"/>
              <w:bottom w:w="0" w:type="dxa"/>
            </w:tcMar>
            <w:vAlign w:val="center"/>
          </w:tcPr>
          <w:p w14:paraId="31B78DC2" w14:textId="77777777" w:rsidR="003955B8" w:rsidRPr="000E3482" w:rsidRDefault="000E3482" w:rsidP="00E9542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0E3482">
              <w:rPr>
                <w:rFonts w:ascii="Arial" w:hAnsi="Arial" w:cs="Arial"/>
                <w:color w:val="010000"/>
                <w:sz w:val="20"/>
                <w:szCs w:val="20"/>
              </w:rPr>
              <w:t>14,448,000,000</w:t>
            </w:r>
          </w:p>
        </w:tc>
      </w:tr>
      <w:tr w:rsidR="003955B8" w:rsidRPr="000E3482" w14:paraId="72B3539D" w14:textId="77777777">
        <w:tc>
          <w:tcPr>
            <w:tcW w:w="860" w:type="dxa"/>
            <w:shd w:val="clear" w:color="auto" w:fill="auto"/>
            <w:tcMar>
              <w:top w:w="0" w:type="dxa"/>
              <w:bottom w:w="0" w:type="dxa"/>
            </w:tcMar>
            <w:vAlign w:val="center"/>
          </w:tcPr>
          <w:p w14:paraId="6E7629EB" w14:textId="77777777" w:rsidR="003955B8" w:rsidRPr="000E3482" w:rsidRDefault="003955B8" w:rsidP="00757407">
            <w:pPr>
              <w:tabs>
                <w:tab w:val="left" w:pos="360"/>
              </w:tabs>
              <w:spacing w:after="120" w:line="360" w:lineRule="auto"/>
              <w:jc w:val="both"/>
              <w:rPr>
                <w:rFonts w:ascii="Arial" w:eastAsia="Arial" w:hAnsi="Arial" w:cs="Arial"/>
                <w:color w:val="010000"/>
                <w:sz w:val="20"/>
                <w:szCs w:val="20"/>
              </w:rPr>
            </w:pPr>
          </w:p>
        </w:tc>
        <w:tc>
          <w:tcPr>
            <w:tcW w:w="6067" w:type="dxa"/>
            <w:shd w:val="clear" w:color="auto" w:fill="auto"/>
            <w:tcMar>
              <w:top w:w="0" w:type="dxa"/>
              <w:bottom w:w="0" w:type="dxa"/>
            </w:tcMar>
            <w:vAlign w:val="center"/>
          </w:tcPr>
          <w:p w14:paraId="463312C2"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dividend payment in cash 17.2%</w:t>
            </w:r>
          </w:p>
        </w:tc>
        <w:tc>
          <w:tcPr>
            <w:tcW w:w="2090" w:type="dxa"/>
            <w:shd w:val="clear" w:color="auto" w:fill="auto"/>
            <w:tcMar>
              <w:top w:w="0" w:type="dxa"/>
              <w:bottom w:w="0" w:type="dxa"/>
            </w:tcMar>
            <w:vAlign w:val="center"/>
          </w:tcPr>
          <w:p w14:paraId="30637604" w14:textId="77777777" w:rsidR="003955B8" w:rsidRPr="000E3482" w:rsidRDefault="000E3482" w:rsidP="00E9542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0E3482">
              <w:rPr>
                <w:rFonts w:ascii="Arial" w:hAnsi="Arial" w:cs="Arial"/>
                <w:color w:val="010000"/>
                <w:sz w:val="20"/>
                <w:szCs w:val="20"/>
              </w:rPr>
              <w:t>14,448,000,000</w:t>
            </w:r>
          </w:p>
        </w:tc>
      </w:tr>
      <w:tr w:rsidR="003955B8" w:rsidRPr="000E3482" w14:paraId="7D0F5841" w14:textId="77777777">
        <w:tc>
          <w:tcPr>
            <w:tcW w:w="860" w:type="dxa"/>
            <w:shd w:val="clear" w:color="auto" w:fill="auto"/>
            <w:tcMar>
              <w:top w:w="0" w:type="dxa"/>
              <w:bottom w:w="0" w:type="dxa"/>
            </w:tcMar>
            <w:vAlign w:val="center"/>
          </w:tcPr>
          <w:p w14:paraId="649B97E8"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3</w:t>
            </w:r>
          </w:p>
        </w:tc>
        <w:tc>
          <w:tcPr>
            <w:tcW w:w="6067" w:type="dxa"/>
            <w:shd w:val="clear" w:color="auto" w:fill="auto"/>
            <w:tcMar>
              <w:top w:w="0" w:type="dxa"/>
              <w:bottom w:w="0" w:type="dxa"/>
            </w:tcMar>
            <w:vAlign w:val="center"/>
          </w:tcPr>
          <w:p w14:paraId="401F9272"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Remaining profit in 2023 after distribution</w:t>
            </w:r>
          </w:p>
        </w:tc>
        <w:tc>
          <w:tcPr>
            <w:tcW w:w="2090" w:type="dxa"/>
            <w:shd w:val="clear" w:color="auto" w:fill="auto"/>
            <w:tcMar>
              <w:top w:w="0" w:type="dxa"/>
              <w:bottom w:w="0" w:type="dxa"/>
            </w:tcMar>
            <w:vAlign w:val="center"/>
          </w:tcPr>
          <w:p w14:paraId="16420039" w14:textId="77777777" w:rsidR="003955B8" w:rsidRPr="000E3482" w:rsidRDefault="000E3482" w:rsidP="00E9542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0E3482">
              <w:rPr>
                <w:rFonts w:ascii="Arial" w:hAnsi="Arial" w:cs="Arial"/>
                <w:color w:val="010000"/>
                <w:sz w:val="20"/>
                <w:szCs w:val="20"/>
              </w:rPr>
              <w:t>0</w:t>
            </w:r>
          </w:p>
        </w:tc>
      </w:tr>
    </w:tbl>
    <w:p w14:paraId="50B9B5BD"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‎‎Article 6. Approve the salary fund, remuneration, and bonus for 2023 and the plan for 2024 of the Company's executive and non-executive management.</w:t>
      </w:r>
    </w:p>
    <w:p w14:paraId="7F7E04E0" w14:textId="77777777" w:rsidR="003955B8" w:rsidRPr="000E3482" w:rsidRDefault="000E3482" w:rsidP="00757407">
      <w:pPr>
        <w:numPr>
          <w:ilvl w:val="0"/>
          <w:numId w:val="4"/>
        </w:numPr>
        <w:pBdr>
          <w:top w:val="nil"/>
          <w:left w:val="nil"/>
          <w:bottom w:val="nil"/>
          <w:right w:val="nil"/>
          <w:between w:val="nil"/>
        </w:pBdr>
        <w:tabs>
          <w:tab w:val="left" w:pos="360"/>
          <w:tab w:val="left" w:pos="2083"/>
        </w:tabs>
        <w:spacing w:after="120" w:line="360" w:lineRule="auto"/>
        <w:jc w:val="both"/>
        <w:rPr>
          <w:rFonts w:ascii="Arial" w:hAnsi="Arial" w:cs="Arial"/>
          <w:color w:val="010000"/>
          <w:sz w:val="20"/>
          <w:szCs w:val="20"/>
        </w:rPr>
      </w:pPr>
      <w:r w:rsidRPr="000E3482">
        <w:rPr>
          <w:rFonts w:ascii="Arial" w:hAnsi="Arial" w:cs="Arial"/>
          <w:color w:val="010000"/>
          <w:sz w:val="20"/>
          <w:szCs w:val="20"/>
        </w:rPr>
        <w:t>Salary fund, remuneration, and bonus implemented in 2023:</w:t>
      </w:r>
    </w:p>
    <w:p w14:paraId="208DF0D3" w14:textId="77777777" w:rsidR="003955B8" w:rsidRPr="000E3482" w:rsidRDefault="000E3482" w:rsidP="00757407">
      <w:pPr>
        <w:numPr>
          <w:ilvl w:val="0"/>
          <w:numId w:val="6"/>
        </w:numPr>
        <w:pBdr>
          <w:top w:val="nil"/>
          <w:left w:val="nil"/>
          <w:bottom w:val="nil"/>
          <w:right w:val="nil"/>
          <w:between w:val="nil"/>
        </w:pBdr>
        <w:tabs>
          <w:tab w:val="left" w:pos="360"/>
          <w:tab w:val="left" w:pos="1992"/>
        </w:tabs>
        <w:spacing w:after="120" w:line="360" w:lineRule="auto"/>
        <w:jc w:val="both"/>
        <w:rPr>
          <w:rFonts w:ascii="Arial" w:hAnsi="Arial" w:cs="Arial"/>
          <w:color w:val="010000"/>
          <w:sz w:val="20"/>
          <w:szCs w:val="20"/>
        </w:rPr>
      </w:pPr>
      <w:r w:rsidRPr="000E3482">
        <w:rPr>
          <w:rFonts w:ascii="Arial" w:hAnsi="Arial" w:cs="Arial"/>
          <w:color w:val="010000"/>
          <w:sz w:val="20"/>
          <w:szCs w:val="20"/>
        </w:rPr>
        <w:t>Salary fund for executive management in 2023:</w:t>
      </w:r>
    </w:p>
    <w:p w14:paraId="005C946A" w14:textId="77777777" w:rsidR="003955B8" w:rsidRPr="000E3482" w:rsidRDefault="000E3482" w:rsidP="00757407">
      <w:pPr>
        <w:numPr>
          <w:ilvl w:val="0"/>
          <w:numId w:val="8"/>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0E3482">
        <w:rPr>
          <w:rFonts w:ascii="Arial" w:hAnsi="Arial" w:cs="Arial"/>
          <w:color w:val="010000"/>
          <w:sz w:val="20"/>
          <w:szCs w:val="20"/>
        </w:rPr>
        <w:t>Plan VND 4,320,000,000.</w:t>
      </w:r>
    </w:p>
    <w:p w14:paraId="7AB65E1A" w14:textId="77777777" w:rsidR="003955B8" w:rsidRPr="000E3482" w:rsidRDefault="000E3482" w:rsidP="00757407">
      <w:pPr>
        <w:numPr>
          <w:ilvl w:val="0"/>
          <w:numId w:val="8"/>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0E3482">
        <w:rPr>
          <w:rFonts w:ascii="Arial" w:hAnsi="Arial" w:cs="Arial"/>
          <w:color w:val="010000"/>
          <w:sz w:val="20"/>
          <w:szCs w:val="20"/>
        </w:rPr>
        <w:t>Implementation: VND 3,335,484,000.</w:t>
      </w:r>
    </w:p>
    <w:p w14:paraId="4145031C" w14:textId="77777777" w:rsidR="003955B8" w:rsidRPr="000E3482" w:rsidRDefault="000E3482" w:rsidP="00757407">
      <w:pPr>
        <w:numPr>
          <w:ilvl w:val="0"/>
          <w:numId w:val="6"/>
        </w:numPr>
        <w:pBdr>
          <w:top w:val="nil"/>
          <w:left w:val="nil"/>
          <w:bottom w:val="nil"/>
          <w:right w:val="nil"/>
          <w:between w:val="nil"/>
        </w:pBdr>
        <w:tabs>
          <w:tab w:val="left" w:pos="360"/>
          <w:tab w:val="left" w:pos="1987"/>
        </w:tabs>
        <w:spacing w:after="120" w:line="360" w:lineRule="auto"/>
        <w:jc w:val="both"/>
        <w:rPr>
          <w:rFonts w:ascii="Arial" w:hAnsi="Arial" w:cs="Arial"/>
          <w:color w:val="010000"/>
          <w:sz w:val="20"/>
          <w:szCs w:val="20"/>
        </w:rPr>
      </w:pPr>
      <w:r w:rsidRPr="000E3482">
        <w:rPr>
          <w:rFonts w:ascii="Arial" w:hAnsi="Arial" w:cs="Arial"/>
          <w:color w:val="010000"/>
          <w:sz w:val="20"/>
          <w:szCs w:val="20"/>
        </w:rPr>
        <w:t>Remuneration fund for non-executive management in 2023:</w:t>
      </w:r>
    </w:p>
    <w:p w14:paraId="0F950E2F" w14:textId="77777777" w:rsidR="003955B8" w:rsidRPr="000E3482" w:rsidRDefault="000E3482" w:rsidP="00757407">
      <w:pPr>
        <w:numPr>
          <w:ilvl w:val="0"/>
          <w:numId w:val="8"/>
        </w:numPr>
        <w:pBdr>
          <w:top w:val="nil"/>
          <w:left w:val="nil"/>
          <w:bottom w:val="nil"/>
          <w:right w:val="nil"/>
          <w:between w:val="nil"/>
        </w:pBdr>
        <w:tabs>
          <w:tab w:val="left" w:pos="360"/>
          <w:tab w:val="left" w:pos="4796"/>
        </w:tabs>
        <w:spacing w:after="120" w:line="360" w:lineRule="auto"/>
        <w:ind w:left="0" w:firstLine="0"/>
        <w:jc w:val="both"/>
        <w:rPr>
          <w:rFonts w:ascii="Arial" w:hAnsi="Arial" w:cs="Arial"/>
          <w:color w:val="010000"/>
          <w:sz w:val="20"/>
          <w:szCs w:val="20"/>
        </w:rPr>
      </w:pPr>
      <w:r w:rsidRPr="000E3482">
        <w:rPr>
          <w:rFonts w:ascii="Arial" w:hAnsi="Arial" w:cs="Arial"/>
          <w:color w:val="010000"/>
          <w:sz w:val="20"/>
          <w:szCs w:val="20"/>
        </w:rPr>
        <w:t>Plan VND 864,000,000</w:t>
      </w:r>
    </w:p>
    <w:p w14:paraId="644DDFB6" w14:textId="77777777" w:rsidR="003955B8" w:rsidRPr="000E3482" w:rsidRDefault="000E3482" w:rsidP="00757407">
      <w:pPr>
        <w:numPr>
          <w:ilvl w:val="0"/>
          <w:numId w:val="8"/>
        </w:numPr>
        <w:pBdr>
          <w:top w:val="nil"/>
          <w:left w:val="nil"/>
          <w:bottom w:val="nil"/>
          <w:right w:val="nil"/>
          <w:between w:val="nil"/>
        </w:pBdr>
        <w:tabs>
          <w:tab w:val="left" w:pos="360"/>
          <w:tab w:val="left" w:pos="4796"/>
        </w:tabs>
        <w:spacing w:after="120" w:line="360" w:lineRule="auto"/>
        <w:ind w:left="0" w:firstLine="0"/>
        <w:jc w:val="both"/>
        <w:rPr>
          <w:rFonts w:ascii="Arial" w:hAnsi="Arial" w:cs="Arial"/>
          <w:color w:val="010000"/>
          <w:sz w:val="20"/>
          <w:szCs w:val="20"/>
        </w:rPr>
      </w:pPr>
      <w:r w:rsidRPr="000E3482">
        <w:rPr>
          <w:rFonts w:ascii="Arial" w:hAnsi="Arial" w:cs="Arial"/>
          <w:color w:val="010000"/>
          <w:sz w:val="20"/>
          <w:szCs w:val="20"/>
        </w:rPr>
        <w:t>Implementation: VND 280,000,000</w:t>
      </w:r>
    </w:p>
    <w:p w14:paraId="1A8C43A1" w14:textId="77777777" w:rsidR="003955B8" w:rsidRPr="000E3482" w:rsidRDefault="000E3482" w:rsidP="00757407">
      <w:pPr>
        <w:numPr>
          <w:ilvl w:val="0"/>
          <w:numId w:val="6"/>
        </w:numPr>
        <w:pBdr>
          <w:top w:val="nil"/>
          <w:left w:val="nil"/>
          <w:bottom w:val="nil"/>
          <w:right w:val="nil"/>
          <w:between w:val="nil"/>
        </w:pBdr>
        <w:tabs>
          <w:tab w:val="left" w:pos="360"/>
          <w:tab w:val="left" w:pos="1983"/>
        </w:tabs>
        <w:spacing w:after="120" w:line="360" w:lineRule="auto"/>
        <w:jc w:val="both"/>
        <w:rPr>
          <w:rFonts w:ascii="Arial" w:hAnsi="Arial" w:cs="Arial"/>
          <w:color w:val="010000"/>
          <w:sz w:val="20"/>
          <w:szCs w:val="20"/>
        </w:rPr>
      </w:pPr>
      <w:r w:rsidRPr="000E3482">
        <w:rPr>
          <w:rFonts w:ascii="Arial" w:hAnsi="Arial" w:cs="Arial"/>
          <w:color w:val="010000"/>
          <w:sz w:val="20"/>
          <w:szCs w:val="20"/>
        </w:rPr>
        <w:t>Bonus fund for the Company's management based on production and business performance in 2023:  VND 900,000,000; Not yet paid.</w:t>
      </w:r>
    </w:p>
    <w:p w14:paraId="120B2A4B" w14:textId="77777777" w:rsidR="003955B8" w:rsidRPr="000E3482" w:rsidRDefault="000E3482" w:rsidP="00757407">
      <w:pPr>
        <w:numPr>
          <w:ilvl w:val="0"/>
          <w:numId w:val="4"/>
        </w:numPr>
        <w:pBdr>
          <w:top w:val="nil"/>
          <w:left w:val="nil"/>
          <w:bottom w:val="nil"/>
          <w:right w:val="nil"/>
          <w:between w:val="nil"/>
        </w:pBdr>
        <w:tabs>
          <w:tab w:val="left" w:pos="360"/>
          <w:tab w:val="left" w:pos="2093"/>
        </w:tabs>
        <w:spacing w:after="120" w:line="360" w:lineRule="auto"/>
        <w:jc w:val="both"/>
        <w:rPr>
          <w:rFonts w:ascii="Arial" w:hAnsi="Arial" w:cs="Arial"/>
          <w:color w:val="010000"/>
          <w:sz w:val="20"/>
          <w:szCs w:val="20"/>
        </w:rPr>
      </w:pPr>
      <w:r w:rsidRPr="000E3482">
        <w:rPr>
          <w:rFonts w:ascii="Arial" w:hAnsi="Arial" w:cs="Arial"/>
          <w:color w:val="010000"/>
          <w:sz w:val="20"/>
          <w:szCs w:val="20"/>
        </w:rPr>
        <w:t>Salary and remuneration fund plan for 2024:</w:t>
      </w:r>
    </w:p>
    <w:p w14:paraId="51623891" w14:textId="77777777" w:rsidR="003955B8" w:rsidRPr="000E3482" w:rsidRDefault="000E3482" w:rsidP="00757407">
      <w:pPr>
        <w:numPr>
          <w:ilvl w:val="0"/>
          <w:numId w:val="7"/>
        </w:numPr>
        <w:pBdr>
          <w:top w:val="nil"/>
          <w:left w:val="nil"/>
          <w:bottom w:val="nil"/>
          <w:right w:val="nil"/>
          <w:between w:val="nil"/>
        </w:pBdr>
        <w:tabs>
          <w:tab w:val="left" w:pos="360"/>
          <w:tab w:val="left" w:pos="1992"/>
        </w:tabs>
        <w:spacing w:after="120" w:line="360" w:lineRule="auto"/>
        <w:jc w:val="both"/>
        <w:rPr>
          <w:rFonts w:ascii="Arial" w:hAnsi="Arial" w:cs="Arial"/>
          <w:color w:val="010000"/>
          <w:sz w:val="20"/>
          <w:szCs w:val="20"/>
        </w:rPr>
      </w:pPr>
      <w:r w:rsidRPr="000E3482">
        <w:rPr>
          <w:rFonts w:ascii="Arial" w:hAnsi="Arial" w:cs="Arial"/>
          <w:color w:val="010000"/>
          <w:sz w:val="20"/>
          <w:szCs w:val="20"/>
        </w:rPr>
        <w:t>Salary fund for executive management (6 people): VND 5,040,000,000</w:t>
      </w:r>
    </w:p>
    <w:p w14:paraId="4020EACB" w14:textId="77777777" w:rsidR="003955B8" w:rsidRPr="000E3482" w:rsidRDefault="000E3482" w:rsidP="00757407">
      <w:pPr>
        <w:numPr>
          <w:ilvl w:val="0"/>
          <w:numId w:val="7"/>
        </w:numPr>
        <w:pBdr>
          <w:top w:val="nil"/>
          <w:left w:val="nil"/>
          <w:bottom w:val="nil"/>
          <w:right w:val="nil"/>
          <w:between w:val="nil"/>
        </w:pBdr>
        <w:tabs>
          <w:tab w:val="left" w:pos="360"/>
          <w:tab w:val="left" w:pos="1992"/>
        </w:tabs>
        <w:spacing w:after="120" w:line="360" w:lineRule="auto"/>
        <w:jc w:val="both"/>
        <w:rPr>
          <w:rFonts w:ascii="Arial" w:hAnsi="Arial" w:cs="Arial"/>
          <w:color w:val="010000"/>
          <w:sz w:val="20"/>
          <w:szCs w:val="20"/>
        </w:rPr>
      </w:pPr>
      <w:r w:rsidRPr="000E3482">
        <w:rPr>
          <w:rFonts w:ascii="Arial" w:hAnsi="Arial" w:cs="Arial"/>
          <w:color w:val="010000"/>
          <w:sz w:val="20"/>
          <w:szCs w:val="20"/>
        </w:rPr>
        <w:t>Remuneration fund for non-executive Board of Directors and Supervisory Board:  VND 1,008,000,000</w:t>
      </w:r>
    </w:p>
    <w:p w14:paraId="49DC3899" w14:textId="77777777" w:rsidR="003955B8" w:rsidRPr="000E3482" w:rsidRDefault="000E3482" w:rsidP="00757407">
      <w:pPr>
        <w:numPr>
          <w:ilvl w:val="0"/>
          <w:numId w:val="4"/>
        </w:numPr>
        <w:pBdr>
          <w:top w:val="nil"/>
          <w:left w:val="nil"/>
          <w:bottom w:val="nil"/>
          <w:right w:val="nil"/>
          <w:between w:val="nil"/>
        </w:pBdr>
        <w:tabs>
          <w:tab w:val="left" w:pos="360"/>
          <w:tab w:val="left" w:pos="2088"/>
        </w:tabs>
        <w:spacing w:after="120" w:line="360" w:lineRule="auto"/>
        <w:jc w:val="both"/>
        <w:rPr>
          <w:rFonts w:ascii="Arial" w:hAnsi="Arial" w:cs="Arial"/>
          <w:color w:val="010000"/>
          <w:sz w:val="20"/>
          <w:szCs w:val="20"/>
        </w:rPr>
      </w:pPr>
      <w:r w:rsidRPr="000E3482">
        <w:rPr>
          <w:rFonts w:ascii="Arial" w:hAnsi="Arial" w:cs="Arial"/>
          <w:color w:val="010000"/>
          <w:sz w:val="20"/>
          <w:szCs w:val="20"/>
        </w:rPr>
        <w:t>Criteria for determining the salary fund, remuneration, and bonus implemented in 2024:</w:t>
      </w:r>
    </w:p>
    <w:p w14:paraId="20743108"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Assign the Board of Directors to develop criteria and determine the salary fund, remuneration, and bonus for the Company's executive and non-executive management in 2024.</w:t>
      </w:r>
    </w:p>
    <w:p w14:paraId="2489C584"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The implemented salary, remuneration, and bonus levels are determined based on the planned salary associated with the level of achievement of the annual business production and profit targets, capital preservation and development, and fulfillment of responsibilities to the State and employees.</w:t>
      </w:r>
    </w:p>
    <w:p w14:paraId="546B28FA"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lastRenderedPageBreak/>
        <w:t xml:space="preserve">‎‎Article 7. Approve the Proposal to establish </w:t>
      </w:r>
      <w:proofErr w:type="spellStart"/>
      <w:r w:rsidRPr="000E3482">
        <w:rPr>
          <w:rFonts w:ascii="Arial" w:hAnsi="Arial" w:cs="Arial"/>
          <w:color w:val="010000"/>
          <w:sz w:val="20"/>
          <w:szCs w:val="20"/>
        </w:rPr>
        <w:t>Sepon</w:t>
      </w:r>
      <w:proofErr w:type="spellEnd"/>
      <w:r w:rsidRPr="000E3482">
        <w:rPr>
          <w:rFonts w:ascii="Arial" w:hAnsi="Arial" w:cs="Arial"/>
          <w:color w:val="010000"/>
          <w:sz w:val="20"/>
          <w:szCs w:val="20"/>
        </w:rPr>
        <w:t xml:space="preserve"> Rice Drying Factory at </w:t>
      </w:r>
      <w:proofErr w:type="spellStart"/>
      <w:r w:rsidRPr="000E3482">
        <w:rPr>
          <w:rFonts w:ascii="Arial" w:hAnsi="Arial" w:cs="Arial"/>
          <w:color w:val="010000"/>
          <w:sz w:val="20"/>
          <w:szCs w:val="20"/>
        </w:rPr>
        <w:t>Dien</w:t>
      </w:r>
      <w:proofErr w:type="spellEnd"/>
      <w:r w:rsidRPr="000E3482">
        <w:rPr>
          <w:rFonts w:ascii="Arial" w:hAnsi="Arial" w:cs="Arial"/>
          <w:color w:val="010000"/>
          <w:sz w:val="20"/>
          <w:szCs w:val="20"/>
        </w:rPr>
        <w:t xml:space="preserve"> </w:t>
      </w:r>
      <w:proofErr w:type="spellStart"/>
      <w:r w:rsidRPr="000E3482">
        <w:rPr>
          <w:rFonts w:ascii="Arial" w:hAnsi="Arial" w:cs="Arial"/>
          <w:color w:val="010000"/>
          <w:sz w:val="20"/>
          <w:szCs w:val="20"/>
        </w:rPr>
        <w:t>Sanh</w:t>
      </w:r>
      <w:proofErr w:type="spellEnd"/>
      <w:r w:rsidRPr="000E3482">
        <w:rPr>
          <w:rFonts w:ascii="Arial" w:hAnsi="Arial" w:cs="Arial"/>
          <w:color w:val="010000"/>
          <w:sz w:val="20"/>
          <w:szCs w:val="20"/>
        </w:rPr>
        <w:t xml:space="preserve"> Industrial Cluster, </w:t>
      </w:r>
      <w:proofErr w:type="spellStart"/>
      <w:r w:rsidRPr="000E3482">
        <w:rPr>
          <w:rFonts w:ascii="Arial" w:hAnsi="Arial" w:cs="Arial"/>
          <w:color w:val="010000"/>
          <w:sz w:val="20"/>
          <w:szCs w:val="20"/>
        </w:rPr>
        <w:t>Dien</w:t>
      </w:r>
      <w:proofErr w:type="spellEnd"/>
      <w:r w:rsidRPr="000E3482">
        <w:rPr>
          <w:rFonts w:ascii="Arial" w:hAnsi="Arial" w:cs="Arial"/>
          <w:color w:val="010000"/>
          <w:sz w:val="20"/>
          <w:szCs w:val="20"/>
        </w:rPr>
        <w:t xml:space="preserve"> </w:t>
      </w:r>
      <w:proofErr w:type="spellStart"/>
      <w:r w:rsidRPr="000E3482">
        <w:rPr>
          <w:rFonts w:ascii="Arial" w:hAnsi="Arial" w:cs="Arial"/>
          <w:color w:val="010000"/>
          <w:sz w:val="20"/>
          <w:szCs w:val="20"/>
        </w:rPr>
        <w:t>Sanh</w:t>
      </w:r>
      <w:proofErr w:type="spellEnd"/>
      <w:r w:rsidRPr="000E3482">
        <w:rPr>
          <w:rFonts w:ascii="Arial" w:hAnsi="Arial" w:cs="Arial"/>
          <w:color w:val="010000"/>
          <w:sz w:val="20"/>
          <w:szCs w:val="20"/>
        </w:rPr>
        <w:t xml:space="preserve"> Town, </w:t>
      </w:r>
      <w:proofErr w:type="spellStart"/>
      <w:r w:rsidRPr="000E3482">
        <w:rPr>
          <w:rFonts w:ascii="Arial" w:hAnsi="Arial" w:cs="Arial"/>
          <w:color w:val="010000"/>
          <w:sz w:val="20"/>
          <w:szCs w:val="20"/>
        </w:rPr>
        <w:t>Hai</w:t>
      </w:r>
      <w:proofErr w:type="spellEnd"/>
      <w:r w:rsidRPr="000E3482">
        <w:rPr>
          <w:rFonts w:ascii="Arial" w:hAnsi="Arial" w:cs="Arial"/>
          <w:color w:val="010000"/>
          <w:sz w:val="20"/>
          <w:szCs w:val="20"/>
        </w:rPr>
        <w:t xml:space="preserve"> Lang District, Quang Tri Province;</w:t>
      </w:r>
    </w:p>
    <w:p w14:paraId="2E0FD85C"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Assign the Board of Directors to direct the implementation of steps in accordance with the provisions of law.</w:t>
      </w:r>
    </w:p>
    <w:p w14:paraId="30EC1D96"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 xml:space="preserve">Article 8: Approve the establishment of </w:t>
      </w:r>
      <w:proofErr w:type="spellStart"/>
      <w:r w:rsidRPr="000E3482">
        <w:rPr>
          <w:rFonts w:ascii="Arial" w:hAnsi="Arial" w:cs="Arial"/>
          <w:color w:val="010000"/>
          <w:sz w:val="20"/>
          <w:szCs w:val="20"/>
        </w:rPr>
        <w:t>Sepon</w:t>
      </w:r>
      <w:proofErr w:type="spellEnd"/>
      <w:r w:rsidRPr="000E3482">
        <w:rPr>
          <w:rFonts w:ascii="Arial" w:hAnsi="Arial" w:cs="Arial"/>
          <w:color w:val="010000"/>
          <w:sz w:val="20"/>
          <w:szCs w:val="20"/>
        </w:rPr>
        <w:t xml:space="preserve"> Organic Fertilizer Production Factory at Quan </w:t>
      </w:r>
      <w:proofErr w:type="spellStart"/>
      <w:r w:rsidRPr="000E3482">
        <w:rPr>
          <w:rFonts w:ascii="Arial" w:hAnsi="Arial" w:cs="Arial"/>
          <w:color w:val="010000"/>
          <w:sz w:val="20"/>
          <w:szCs w:val="20"/>
        </w:rPr>
        <w:t>Ngang</w:t>
      </w:r>
      <w:proofErr w:type="spellEnd"/>
      <w:r w:rsidRPr="000E3482">
        <w:rPr>
          <w:rFonts w:ascii="Arial" w:hAnsi="Arial" w:cs="Arial"/>
          <w:color w:val="010000"/>
          <w:sz w:val="20"/>
          <w:szCs w:val="20"/>
        </w:rPr>
        <w:t xml:space="preserve"> Industrial Park, </w:t>
      </w:r>
      <w:proofErr w:type="spellStart"/>
      <w:r w:rsidRPr="000E3482">
        <w:rPr>
          <w:rFonts w:ascii="Arial" w:hAnsi="Arial" w:cs="Arial"/>
          <w:color w:val="010000"/>
          <w:sz w:val="20"/>
          <w:szCs w:val="20"/>
        </w:rPr>
        <w:t>Gio</w:t>
      </w:r>
      <w:proofErr w:type="spellEnd"/>
      <w:r w:rsidRPr="000E3482">
        <w:rPr>
          <w:rFonts w:ascii="Arial" w:hAnsi="Arial" w:cs="Arial"/>
          <w:color w:val="010000"/>
          <w:sz w:val="20"/>
          <w:szCs w:val="20"/>
        </w:rPr>
        <w:t xml:space="preserve"> Linh Town, Gio Linh District, Quang Tri Province;</w:t>
      </w:r>
    </w:p>
    <w:p w14:paraId="6D37C700"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Assign the Board of Directors to direct the implementation of steps in accordance with the provisions of law.</w:t>
      </w:r>
    </w:p>
    <w:p w14:paraId="0FDA3E18"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‎‎Article 9. Approve the investment in the construction of a representative office and warehouse in Da Nang;</w:t>
      </w:r>
    </w:p>
    <w:p w14:paraId="428CD232"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Continue to assign the Company's Board of Directors to direct the implementation of steps in accordance with the provisions of law.</w:t>
      </w:r>
    </w:p>
    <w:p w14:paraId="2F6899D6"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‎‎Article 10. Approve the addition of business lines and supplementation to the Company's Charter as follows:</w:t>
      </w:r>
    </w:p>
    <w:p w14:paraId="5AE28021" w14:textId="77777777" w:rsidR="003955B8" w:rsidRPr="000E3482" w:rsidRDefault="000E3482" w:rsidP="00757407">
      <w:pPr>
        <w:numPr>
          <w:ilvl w:val="0"/>
          <w:numId w:val="5"/>
        </w:numPr>
        <w:pBdr>
          <w:top w:val="nil"/>
          <w:left w:val="nil"/>
          <w:bottom w:val="nil"/>
          <w:right w:val="nil"/>
          <w:between w:val="nil"/>
        </w:pBdr>
        <w:tabs>
          <w:tab w:val="left" w:pos="360"/>
          <w:tab w:val="left" w:pos="1874"/>
        </w:tabs>
        <w:spacing w:after="120" w:line="360" w:lineRule="auto"/>
        <w:jc w:val="both"/>
        <w:rPr>
          <w:rFonts w:ascii="Arial" w:hAnsi="Arial" w:cs="Arial"/>
          <w:color w:val="010000"/>
          <w:sz w:val="20"/>
          <w:szCs w:val="20"/>
        </w:rPr>
      </w:pPr>
      <w:r w:rsidRPr="000E3482">
        <w:rPr>
          <w:rFonts w:ascii="Arial" w:hAnsi="Arial" w:cs="Arial"/>
          <w:color w:val="010000"/>
          <w:sz w:val="20"/>
          <w:szCs w:val="20"/>
        </w:rPr>
        <w:t>Supplement to the business lines;</w:t>
      </w:r>
    </w:p>
    <w:p w14:paraId="3E5A6694"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Business code: 1074 - Manufacture of macaroni, noodles, and similar products</w:t>
      </w:r>
    </w:p>
    <w:p w14:paraId="2D1E0785"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Business code: 3811 - Collection of non-hazardous waste</w:t>
      </w:r>
    </w:p>
    <w:p w14:paraId="7413454A"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Business code: 3821 - Treatment and disposal of non-hazardous waste</w:t>
      </w:r>
    </w:p>
    <w:p w14:paraId="22562F21" w14:textId="77777777" w:rsidR="003955B8" w:rsidRPr="000E3482" w:rsidRDefault="000E3482" w:rsidP="00757407">
      <w:pPr>
        <w:numPr>
          <w:ilvl w:val="0"/>
          <w:numId w:val="5"/>
        </w:numPr>
        <w:pBdr>
          <w:top w:val="nil"/>
          <w:left w:val="nil"/>
          <w:bottom w:val="nil"/>
          <w:right w:val="nil"/>
          <w:between w:val="nil"/>
        </w:pBdr>
        <w:tabs>
          <w:tab w:val="left" w:pos="360"/>
          <w:tab w:val="left" w:pos="1956"/>
        </w:tabs>
        <w:spacing w:after="120" w:line="360" w:lineRule="auto"/>
        <w:jc w:val="both"/>
        <w:rPr>
          <w:rFonts w:ascii="Arial" w:hAnsi="Arial" w:cs="Arial"/>
          <w:color w:val="010000"/>
          <w:sz w:val="20"/>
          <w:szCs w:val="20"/>
        </w:rPr>
      </w:pPr>
      <w:r w:rsidRPr="000E3482">
        <w:rPr>
          <w:rFonts w:ascii="Arial" w:hAnsi="Arial" w:cs="Arial"/>
          <w:color w:val="010000"/>
          <w:sz w:val="20"/>
          <w:szCs w:val="20"/>
        </w:rPr>
        <w:t>Amend and supplement Clause 1, Article 4 "Objectives of the Company's operations" of the Company's Charter with the above additional business lines. The General Meeting assigns the Company's Board of Directors to implement the steps in accordance with the provisions of law.</w:t>
      </w:r>
    </w:p>
    <w:p w14:paraId="5F5AD995"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‎‎Article 11. Approve the policy to invest capital to increase capacity at the Huong Hoa Cassava Starch Factory with an estimated total investment of VND 100 billion. Assign the Company's Board of Directors to research and implement.</w:t>
      </w:r>
    </w:p>
    <w:p w14:paraId="3B5A05BE"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‎‎Article 12. Terms enforcement:</w:t>
      </w:r>
    </w:p>
    <w:p w14:paraId="079B10FC"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The General Mandate of Quang Tri General Trading Joint Stock Company in 2024 takes effect from April 15, 2024.</w:t>
      </w:r>
    </w:p>
    <w:p w14:paraId="62E7478C" w14:textId="77777777" w:rsidR="003955B8" w:rsidRPr="000E3482" w:rsidRDefault="000E3482" w:rsidP="0075740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E3482">
        <w:rPr>
          <w:rFonts w:ascii="Arial" w:hAnsi="Arial" w:cs="Arial"/>
          <w:color w:val="010000"/>
          <w:sz w:val="20"/>
          <w:szCs w:val="20"/>
        </w:rPr>
        <w:t>All shareholders, members of the Board of Directors, Supervisory Board, and Executive Board of Quang Tri General Trading Joint Stock Company are responsible for implementing this General Mandate and organizing the implementation in accordance with their functions and in compliance with the provisions of law and the Company's Charter.</w:t>
      </w:r>
    </w:p>
    <w:sectPr w:rsidR="003955B8" w:rsidRPr="000E348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18B5"/>
    <w:multiLevelType w:val="multilevel"/>
    <w:tmpl w:val="2EBA24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41901A4"/>
    <w:multiLevelType w:val="multilevel"/>
    <w:tmpl w:val="251A9A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360BE6"/>
    <w:multiLevelType w:val="multilevel"/>
    <w:tmpl w:val="4D809A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9D0496"/>
    <w:multiLevelType w:val="multilevel"/>
    <w:tmpl w:val="1998520A"/>
    <w:lvl w:ilvl="0">
      <w:start w:val="1"/>
      <w:numFmt w:val="bullet"/>
      <w:lvlText w:val="-"/>
      <w:lvlJc w:val="left"/>
      <w:pPr>
        <w:ind w:left="0" w:firstLine="0"/>
      </w:pPr>
      <w:rPr>
        <w:rFonts w:ascii="Arial" w:eastAsia="Arial" w:hAnsi="Arial" w:cs="Arial"/>
        <w:b w:val="0"/>
        <w:i w:val="0"/>
        <w:smallCaps w:val="0"/>
        <w:strike w:val="0"/>
        <w:color w:val="2023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F40C3C"/>
    <w:multiLevelType w:val="multilevel"/>
    <w:tmpl w:val="3C340C9E"/>
    <w:lvl w:ilvl="0">
      <w:start w:val="1"/>
      <w:numFmt w:val="bullet"/>
      <w:lvlText w:val="-"/>
      <w:lvlJc w:val="left"/>
      <w:pPr>
        <w:ind w:left="0" w:firstLine="0"/>
      </w:pPr>
      <w:rPr>
        <w:rFonts w:ascii="Arial" w:eastAsia="Arial" w:hAnsi="Arial" w:cs="Arial"/>
        <w:b w:val="0"/>
        <w:i w:val="0"/>
        <w:smallCaps w:val="0"/>
        <w:strike w:val="0"/>
        <w:color w:val="2023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2FD34F8"/>
    <w:multiLevelType w:val="multilevel"/>
    <w:tmpl w:val="88689664"/>
    <w:lvl w:ilvl="0">
      <w:start w:val="1"/>
      <w:numFmt w:val="decimal"/>
      <w:lvlText w:val="%1."/>
      <w:lvlJc w:val="left"/>
      <w:pPr>
        <w:ind w:left="0" w:firstLine="0"/>
      </w:pPr>
      <w:rPr>
        <w:rFonts w:ascii="Arial" w:eastAsia="Arial" w:hAnsi="Arial" w:cs="Arial"/>
        <w:b w:val="0"/>
        <w:i w:val="0"/>
        <w:smallCaps w:val="0"/>
        <w:strike w:val="0"/>
        <w:color w:val="2023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23E5B8E"/>
    <w:multiLevelType w:val="multilevel"/>
    <w:tmpl w:val="521A1686"/>
    <w:lvl w:ilvl="0">
      <w:start w:val="1"/>
      <w:numFmt w:val="decimal"/>
      <w:lvlText w:val="%1."/>
      <w:lvlJc w:val="left"/>
      <w:pPr>
        <w:ind w:left="0" w:firstLine="0"/>
      </w:pPr>
      <w:rPr>
        <w:rFonts w:ascii="Arial" w:eastAsia="Arial" w:hAnsi="Arial" w:cs="Arial"/>
        <w:b w:val="0"/>
        <w:i w:val="0"/>
        <w:smallCaps w:val="0"/>
        <w:strike w:val="0"/>
        <w:color w:val="2023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4FA308A"/>
    <w:multiLevelType w:val="multilevel"/>
    <w:tmpl w:val="BFCA51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3"/>
  </w:num>
  <w:num w:numId="4">
    <w:abstractNumId w:val="7"/>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B8"/>
    <w:rsid w:val="000E3482"/>
    <w:rsid w:val="003955B8"/>
    <w:rsid w:val="00757407"/>
    <w:rsid w:val="00E95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0232A"/>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0232A"/>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4"/>
      <w:szCs w:val="14"/>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0232A"/>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0232A"/>
      <w:sz w:val="26"/>
      <w:szCs w:val="26"/>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E24C5A"/>
      <w:sz w:val="16"/>
      <w:szCs w:val="16"/>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12"/>
      <w:szCs w:val="12"/>
      <w:u w:val="none"/>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color w:val="20232A"/>
      <w:sz w:val="26"/>
      <w:szCs w:val="26"/>
    </w:rPr>
  </w:style>
  <w:style w:type="paragraph" w:customStyle="1" w:styleId="Bodytext20">
    <w:name w:val="Body text (2)"/>
    <w:basedOn w:val="Normal"/>
    <w:link w:val="Bodytext2"/>
    <w:pPr>
      <w:ind w:left="1880"/>
    </w:pPr>
    <w:rPr>
      <w:rFonts w:ascii="Times New Roman" w:eastAsia="Times New Roman" w:hAnsi="Times New Roman" w:cs="Times New Roman"/>
      <w:b/>
      <w:bCs/>
      <w:color w:val="20232A"/>
      <w:sz w:val="20"/>
      <w:szCs w:val="20"/>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FF0000"/>
      <w:sz w:val="14"/>
      <w:szCs w:val="14"/>
    </w:rPr>
  </w:style>
  <w:style w:type="paragraph" w:customStyle="1" w:styleId="Heading11">
    <w:name w:val="Heading #1"/>
    <w:basedOn w:val="Normal"/>
    <w:link w:val="Heading10"/>
    <w:pPr>
      <w:spacing w:line="269" w:lineRule="auto"/>
      <w:ind w:left="580" w:firstLine="690"/>
      <w:outlineLvl w:val="0"/>
    </w:pPr>
    <w:rPr>
      <w:rFonts w:ascii="Times New Roman" w:eastAsia="Times New Roman" w:hAnsi="Times New Roman" w:cs="Times New Roman"/>
      <w:b/>
      <w:bCs/>
      <w:color w:val="20232A"/>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283" w:lineRule="auto"/>
      <w:ind w:firstLine="400"/>
    </w:pPr>
    <w:rPr>
      <w:rFonts w:ascii="Times New Roman" w:eastAsia="Times New Roman" w:hAnsi="Times New Roman" w:cs="Times New Roman"/>
      <w:color w:val="20232A"/>
      <w:sz w:val="26"/>
      <w:szCs w:val="26"/>
    </w:rPr>
  </w:style>
  <w:style w:type="paragraph" w:customStyle="1" w:styleId="Bodytext40">
    <w:name w:val="Body text (4)"/>
    <w:basedOn w:val="Normal"/>
    <w:link w:val="Bodytext4"/>
    <w:pPr>
      <w:spacing w:line="353" w:lineRule="auto"/>
      <w:ind w:firstLine="260"/>
    </w:pPr>
    <w:rPr>
      <w:rFonts w:ascii="Arial" w:eastAsia="Arial" w:hAnsi="Arial" w:cs="Arial"/>
      <w:b/>
      <w:bCs/>
      <w:color w:val="E24C5A"/>
      <w:sz w:val="16"/>
      <w:szCs w:val="16"/>
    </w:rPr>
  </w:style>
  <w:style w:type="paragraph" w:customStyle="1" w:styleId="Bodytext60">
    <w:name w:val="Body text (6)"/>
    <w:basedOn w:val="Normal"/>
    <w:link w:val="Bodytext6"/>
    <w:pPr>
      <w:ind w:firstLine="680"/>
    </w:pPr>
    <w:rPr>
      <w:rFonts w:ascii="Arial" w:eastAsia="Arial" w:hAnsi="Arial" w:cs="Arial"/>
      <w:b/>
      <w:bCs/>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0232A"/>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0232A"/>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4"/>
      <w:szCs w:val="14"/>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0232A"/>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0232A"/>
      <w:sz w:val="26"/>
      <w:szCs w:val="26"/>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E24C5A"/>
      <w:sz w:val="16"/>
      <w:szCs w:val="16"/>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12"/>
      <w:szCs w:val="12"/>
      <w:u w:val="none"/>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color w:val="20232A"/>
      <w:sz w:val="26"/>
      <w:szCs w:val="26"/>
    </w:rPr>
  </w:style>
  <w:style w:type="paragraph" w:customStyle="1" w:styleId="Bodytext20">
    <w:name w:val="Body text (2)"/>
    <w:basedOn w:val="Normal"/>
    <w:link w:val="Bodytext2"/>
    <w:pPr>
      <w:ind w:left="1880"/>
    </w:pPr>
    <w:rPr>
      <w:rFonts w:ascii="Times New Roman" w:eastAsia="Times New Roman" w:hAnsi="Times New Roman" w:cs="Times New Roman"/>
      <w:b/>
      <w:bCs/>
      <w:color w:val="20232A"/>
      <w:sz w:val="20"/>
      <w:szCs w:val="20"/>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FF0000"/>
      <w:sz w:val="14"/>
      <w:szCs w:val="14"/>
    </w:rPr>
  </w:style>
  <w:style w:type="paragraph" w:customStyle="1" w:styleId="Heading11">
    <w:name w:val="Heading #1"/>
    <w:basedOn w:val="Normal"/>
    <w:link w:val="Heading10"/>
    <w:pPr>
      <w:spacing w:line="269" w:lineRule="auto"/>
      <w:ind w:left="580" w:firstLine="690"/>
      <w:outlineLvl w:val="0"/>
    </w:pPr>
    <w:rPr>
      <w:rFonts w:ascii="Times New Roman" w:eastAsia="Times New Roman" w:hAnsi="Times New Roman" w:cs="Times New Roman"/>
      <w:b/>
      <w:bCs/>
      <w:color w:val="20232A"/>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283" w:lineRule="auto"/>
      <w:ind w:firstLine="400"/>
    </w:pPr>
    <w:rPr>
      <w:rFonts w:ascii="Times New Roman" w:eastAsia="Times New Roman" w:hAnsi="Times New Roman" w:cs="Times New Roman"/>
      <w:color w:val="20232A"/>
      <w:sz w:val="26"/>
      <w:szCs w:val="26"/>
    </w:rPr>
  </w:style>
  <w:style w:type="paragraph" w:customStyle="1" w:styleId="Bodytext40">
    <w:name w:val="Body text (4)"/>
    <w:basedOn w:val="Normal"/>
    <w:link w:val="Bodytext4"/>
    <w:pPr>
      <w:spacing w:line="353" w:lineRule="auto"/>
      <w:ind w:firstLine="260"/>
    </w:pPr>
    <w:rPr>
      <w:rFonts w:ascii="Arial" w:eastAsia="Arial" w:hAnsi="Arial" w:cs="Arial"/>
      <w:b/>
      <w:bCs/>
      <w:color w:val="E24C5A"/>
      <w:sz w:val="16"/>
      <w:szCs w:val="16"/>
    </w:rPr>
  </w:style>
  <w:style w:type="paragraph" w:customStyle="1" w:styleId="Bodytext60">
    <w:name w:val="Body text (6)"/>
    <w:basedOn w:val="Normal"/>
    <w:link w:val="Bodytext6"/>
    <w:pPr>
      <w:ind w:firstLine="680"/>
    </w:pPr>
    <w:rPr>
      <w:rFonts w:ascii="Arial" w:eastAsia="Arial" w:hAnsi="Arial" w:cs="Arial"/>
      <w:b/>
      <w:bCs/>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pb7HssbQdX81cv1EAk3ucZN3w==">CgMxLjAaJAoBMBIfCh0IB0IZCgVBcmlhbBIQQXJpYWwgVW5pY29kZSBNUxokCgExEh8KHQgHQhkKBUFyaWFsEhBBcmlhbCBVbmljb2RlIE1TOAByITFjREVlR1lQa1pXWkpROE9vUkZGZmc3ejdrY1FIbVVsZA==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2024-04-22T02:01:00Z</dcterms:created>
  <dcterms:modified xsi:type="dcterms:W3CDTF">2024-04-23T09:50:00Z</dcterms:modified>
</cp:coreProperties>
</file>