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15088" w:rsidRPr="009E71E2" w:rsidRDefault="009E71E2" w:rsidP="009566E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9E71E2">
        <w:rPr>
          <w:rFonts w:ascii="Arial" w:hAnsi="Arial" w:cs="Arial"/>
          <w:b/>
          <w:color w:val="010000"/>
          <w:sz w:val="20"/>
        </w:rPr>
        <w:t>SEP: Decision on sanctioning of administrative violations</w:t>
      </w:r>
    </w:p>
    <w:p w14:paraId="00000002" w14:textId="365466D9" w:rsidR="00215088" w:rsidRPr="009E71E2" w:rsidRDefault="009E71E2" w:rsidP="009566E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71E2">
        <w:rPr>
          <w:rFonts w:ascii="Arial" w:hAnsi="Arial" w:cs="Arial"/>
          <w:color w:val="010000"/>
          <w:sz w:val="20"/>
        </w:rPr>
        <w:t>On April 19, 2024, Quang Tri general trading joint stock company announced Official Dispatch No. 41/CV-SEP as follows:</w:t>
      </w:r>
    </w:p>
    <w:p w14:paraId="00000003" w14:textId="5EFA68A0" w:rsidR="00215088" w:rsidRPr="009E71E2" w:rsidRDefault="009E71E2" w:rsidP="009566E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71E2">
        <w:rPr>
          <w:rFonts w:ascii="Arial" w:hAnsi="Arial" w:cs="Arial"/>
          <w:color w:val="010000"/>
          <w:sz w:val="20"/>
        </w:rPr>
        <w:t xml:space="preserve">Quang Tri general trading </w:t>
      </w:r>
      <w:proofErr w:type="gramStart"/>
      <w:r w:rsidRPr="009E71E2">
        <w:rPr>
          <w:rFonts w:ascii="Arial" w:hAnsi="Arial" w:cs="Arial"/>
          <w:color w:val="010000"/>
          <w:sz w:val="20"/>
        </w:rPr>
        <w:t>joint stock company</w:t>
      </w:r>
      <w:proofErr w:type="gramEnd"/>
      <w:r w:rsidRPr="009E71E2">
        <w:rPr>
          <w:rFonts w:ascii="Arial" w:hAnsi="Arial" w:cs="Arial"/>
          <w:color w:val="010000"/>
          <w:sz w:val="20"/>
        </w:rPr>
        <w:t xml:space="preserve"> announced information about: Decision No. 4311/QD-XPHC dated April 10, 2024 of Thanh </w:t>
      </w:r>
      <w:proofErr w:type="spellStart"/>
      <w:r w:rsidRPr="009E71E2">
        <w:rPr>
          <w:rFonts w:ascii="Arial" w:hAnsi="Arial" w:cs="Arial"/>
          <w:color w:val="010000"/>
          <w:sz w:val="20"/>
        </w:rPr>
        <w:t>Khe</w:t>
      </w:r>
      <w:proofErr w:type="spellEnd"/>
      <w:r w:rsidRPr="009E71E2">
        <w:rPr>
          <w:rFonts w:ascii="Arial" w:hAnsi="Arial" w:cs="Arial"/>
          <w:color w:val="010000"/>
          <w:sz w:val="20"/>
        </w:rPr>
        <w:t xml:space="preserve"> - Lien </w:t>
      </w:r>
      <w:proofErr w:type="spellStart"/>
      <w:r w:rsidRPr="009E71E2">
        <w:rPr>
          <w:rFonts w:ascii="Arial" w:hAnsi="Arial" w:cs="Arial"/>
          <w:color w:val="010000"/>
          <w:sz w:val="20"/>
        </w:rPr>
        <w:t>Chieu</w:t>
      </w:r>
      <w:proofErr w:type="spellEnd"/>
      <w:r w:rsidRPr="009E71E2">
        <w:rPr>
          <w:rFonts w:ascii="Arial" w:hAnsi="Arial" w:cs="Arial"/>
          <w:color w:val="010000"/>
          <w:sz w:val="20"/>
        </w:rPr>
        <w:t xml:space="preserve"> Regional Tax Department (Da Nang) sanctioning administrative violations of tax in the amount of: VND 4,638,751 due to the late submission of the non-agricultural land use tax declaration in 2022.</w:t>
      </w:r>
      <w:bookmarkStart w:id="1" w:name="_GoBack"/>
      <w:bookmarkEnd w:id="1"/>
    </w:p>
    <w:sectPr w:rsidR="00215088" w:rsidRPr="009E71E2" w:rsidSect="009E71E2">
      <w:pgSz w:w="11900" w:h="16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88"/>
    <w:rsid w:val="00215088"/>
    <w:rsid w:val="009566E1"/>
    <w:rsid w:val="009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D5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1495A"/>
      <w:w w:val="7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b/>
      <w:bCs/>
      <w:color w:val="E1495A"/>
      <w:w w:val="70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4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1495A"/>
      <w:w w:val="7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b/>
      <w:bCs/>
      <w:color w:val="E1495A"/>
      <w:w w:val="70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4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+V0WcHc0H3JTpWVUkXguGYCv8w==">CgMxLjAyCGguZ2pkZ3hzOAByITFyRlc4eTFzdnpGVXVSd0NCYXFwbVdpN3doU0IxNUFBUA==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443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2024-04-22T04:21:00Z</dcterms:created>
  <dcterms:modified xsi:type="dcterms:W3CDTF">2024-04-23T08:42:00Z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0821ae9fafddbcc2b30e186ff10f78411349202a18d06607b6e22675e484456c</vt:lpwstr>
  </property>
</Properties>
</file>