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b/>
          <w:color w:val="010000"/>
          <w:sz w:val="20"/>
          <w:szCs w:val="20"/>
        </w:rPr>
      </w:pPr>
      <w:r w:rsidRPr="007E0E60">
        <w:rPr>
          <w:rFonts w:ascii="Arial" w:hAnsi="Arial" w:cs="Arial"/>
          <w:b/>
          <w:color w:val="010000"/>
          <w:sz w:val="20"/>
        </w:rPr>
        <w:t>SMT: Board Resolution</w:t>
      </w:r>
    </w:p>
    <w:p w14:paraId="00000002" w14:textId="5D0C6DA9"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On April 16, 2024, Sametel Corporation</w:t>
      </w:r>
      <w:bookmarkStart w:id="0" w:name="_GoBack"/>
      <w:bookmarkEnd w:id="0"/>
      <w:r w:rsidRPr="007E0E60">
        <w:rPr>
          <w:rFonts w:ascii="Arial" w:hAnsi="Arial" w:cs="Arial"/>
          <w:color w:val="010000"/>
          <w:sz w:val="20"/>
        </w:rPr>
        <w:t xml:space="preserve"> announced Resolution No. 1604/2024/NQ-HDQT on approving the registration dossier for private placement as follows:</w:t>
      </w:r>
    </w:p>
    <w:p w14:paraId="00000003"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Article 1: Approve the registration dossier for private placement in accordance with the law, including:</w:t>
      </w:r>
    </w:p>
    <w:p w14:paraId="00000004" w14:textId="08C3203E"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Certificate of registration of private placement No.</w:t>
      </w:r>
      <w:r w:rsidR="00BD057D" w:rsidRPr="007E0E60">
        <w:rPr>
          <w:rFonts w:ascii="Arial" w:hAnsi="Arial" w:cs="Arial"/>
          <w:color w:val="010000"/>
          <w:sz w:val="20"/>
        </w:rPr>
        <w:t xml:space="preserve"> </w:t>
      </w:r>
      <w:r w:rsidRPr="007E0E60">
        <w:rPr>
          <w:rFonts w:ascii="Arial" w:hAnsi="Arial" w:cs="Arial"/>
          <w:color w:val="010000"/>
          <w:sz w:val="20"/>
        </w:rPr>
        <w:t>1101/2024/SMT/VC9-HDQT dated January 11, 2024;</w:t>
      </w:r>
    </w:p>
    <w:p w14:paraId="00000005" w14:textId="16C20732"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General Mandate and Minutes of the Annual General Meeting of Shareholders No. 2104/2023/NQ-DHDCD dated April 21, 2023;</w:t>
      </w:r>
    </w:p>
    <w:p w14:paraId="00000006" w14:textId="77777777"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Proposal for approval of the plan on private placement;</w:t>
      </w:r>
    </w:p>
    <w:p w14:paraId="00000007" w14:textId="77777777"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Resolution and Minutes of the Board of Directors No. 3110-1/2023/NQ-HDQT dated October 31, 2023;</w:t>
      </w:r>
    </w:p>
    <w:p w14:paraId="00000008" w14:textId="77777777"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Resolution and Minutes of the Board of Directors No. 3110-2/2023/NQ-HDQT dated October 31, 2023;</w:t>
      </w:r>
    </w:p>
    <w:p w14:paraId="00000009" w14:textId="67B4D700"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Resolution and Minutes of the Board of Directors No. 1212-02/2023/NQ-HDQT dated December 12, 2023;</w:t>
      </w:r>
    </w:p>
    <w:p w14:paraId="0000000A" w14:textId="77777777"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Resolution and Minutes of the Board of Directors No. 1001/2024/NQ-HDQT dated January 10, 2024;</w:t>
      </w:r>
    </w:p>
    <w:p w14:paraId="0000000B" w14:textId="368DC9FE"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The Issuer's commitment on compliance with the regulations on cross-ownership of the Law on Enterprises;</w:t>
      </w:r>
    </w:p>
    <w:p w14:paraId="0000000C" w14:textId="77777777" w:rsidR="00CA1366" w:rsidRPr="007E0E60" w:rsidRDefault="007E0E60" w:rsidP="00F56320">
      <w:pPr>
        <w:numPr>
          <w:ilvl w:val="0"/>
          <w:numId w:val="1"/>
        </w:numPr>
        <w:pBdr>
          <w:top w:val="nil"/>
          <w:left w:val="nil"/>
          <w:bottom w:val="nil"/>
          <w:right w:val="nil"/>
          <w:between w:val="nil"/>
        </w:pBdr>
        <w:tabs>
          <w:tab w:val="left" w:pos="533"/>
        </w:tabs>
        <w:spacing w:after="120" w:line="360" w:lineRule="auto"/>
        <w:jc w:val="both"/>
        <w:rPr>
          <w:rFonts w:ascii="Arial" w:eastAsia="Arial" w:hAnsi="Arial" w:cs="Arial"/>
          <w:color w:val="010000"/>
          <w:sz w:val="20"/>
          <w:szCs w:val="20"/>
        </w:rPr>
      </w:pPr>
      <w:r w:rsidRPr="007E0E60">
        <w:rPr>
          <w:rFonts w:ascii="Arial" w:hAnsi="Arial" w:cs="Arial"/>
          <w:color w:val="010000"/>
          <w:sz w:val="20"/>
        </w:rPr>
        <w:t>The Issuer's commitment to related parties dated December 14, 2023;</w:t>
      </w:r>
    </w:p>
    <w:p w14:paraId="0000000D" w14:textId="77777777" w:rsidR="00CA1366" w:rsidRPr="007E0E60" w:rsidRDefault="007E0E60" w:rsidP="00F56320">
      <w:pPr>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7E0E60">
        <w:rPr>
          <w:rFonts w:ascii="Arial" w:hAnsi="Arial" w:cs="Arial"/>
          <w:color w:val="010000"/>
          <w:sz w:val="20"/>
        </w:rPr>
        <w:t>Charter of Sametel Corporation;</w:t>
      </w:r>
    </w:p>
    <w:p w14:paraId="0000000E" w14:textId="77777777" w:rsidR="00CA1366" w:rsidRPr="007E0E60" w:rsidRDefault="007E0E60" w:rsidP="00F56320">
      <w:pPr>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7E0E60">
        <w:rPr>
          <w:rFonts w:ascii="Arial" w:hAnsi="Arial" w:cs="Arial"/>
          <w:color w:val="010000"/>
          <w:sz w:val="20"/>
        </w:rPr>
        <w:t>Business Registration Certificate No. 3600850734, issued by the Department of Planning and Investment of Dong Nai Province for the first time on October 20, 2006, changed for the 13th time on January 4, 2023;</w:t>
      </w:r>
    </w:p>
    <w:p w14:paraId="0000000F" w14:textId="77777777" w:rsidR="00CA1366" w:rsidRPr="007E0E60" w:rsidRDefault="007E0E60" w:rsidP="00F56320">
      <w:pPr>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7E0E60">
        <w:rPr>
          <w:rFonts w:ascii="Arial" w:hAnsi="Arial" w:cs="Arial"/>
          <w:color w:val="010000"/>
          <w:sz w:val="20"/>
        </w:rPr>
        <w:t>Account status confirmation dated September 23, 2023;</w:t>
      </w:r>
    </w:p>
    <w:p w14:paraId="00000010" w14:textId="627A4945" w:rsidR="00CA1366" w:rsidRPr="007E0E60" w:rsidRDefault="007E0E60" w:rsidP="00F56320">
      <w:pPr>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7E0E60">
        <w:rPr>
          <w:rFonts w:ascii="Arial" w:hAnsi="Arial" w:cs="Arial"/>
          <w:color w:val="010000"/>
          <w:sz w:val="20"/>
        </w:rPr>
        <w:t>Dossier on Identifying the status of a professional securities investor;</w:t>
      </w:r>
    </w:p>
    <w:p w14:paraId="00000011" w14:textId="77777777" w:rsidR="00CA1366" w:rsidRPr="007E0E60" w:rsidRDefault="007E0E60" w:rsidP="00F56320">
      <w:pPr>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7E0E60">
        <w:rPr>
          <w:rFonts w:ascii="Arial" w:hAnsi="Arial" w:cs="Arial"/>
          <w:color w:val="010000"/>
          <w:sz w:val="20"/>
        </w:rPr>
        <w:t>Commitment of Sametel Corporation and investors;</w:t>
      </w:r>
    </w:p>
    <w:p w14:paraId="00000012" w14:textId="07F0BC63" w:rsidR="00CA1366" w:rsidRPr="007E0E60" w:rsidRDefault="007E0E60" w:rsidP="00F56320">
      <w:pPr>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7E0E60">
        <w:rPr>
          <w:rFonts w:ascii="Arial" w:hAnsi="Arial" w:cs="Arial"/>
          <w:color w:val="010000"/>
          <w:sz w:val="20"/>
        </w:rPr>
        <w:t>Documents related to specific capital use plans for bank debt repayment and</w:t>
      </w:r>
      <w:r w:rsidR="00BD057D" w:rsidRPr="007E0E60">
        <w:rPr>
          <w:rFonts w:ascii="Arial" w:hAnsi="Arial" w:cs="Arial"/>
          <w:color w:val="010000"/>
          <w:sz w:val="20"/>
        </w:rPr>
        <w:t xml:space="preserve"> </w:t>
      </w:r>
      <w:r w:rsidRPr="007E0E60">
        <w:rPr>
          <w:rFonts w:ascii="Arial" w:hAnsi="Arial" w:cs="Arial"/>
          <w:color w:val="010000"/>
          <w:sz w:val="20"/>
        </w:rPr>
        <w:t>purchase and sale of goods;</w:t>
      </w:r>
    </w:p>
    <w:p w14:paraId="00000013" w14:textId="77777777" w:rsidR="00CA1366" w:rsidRPr="007E0E60" w:rsidRDefault="007E0E60" w:rsidP="00F56320">
      <w:pPr>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7E0E60">
        <w:rPr>
          <w:rFonts w:ascii="Arial" w:hAnsi="Arial" w:cs="Arial"/>
          <w:color w:val="010000"/>
          <w:sz w:val="20"/>
        </w:rPr>
        <w:t>Documents related to Duy Hung Technological Commercial Joint Stock Company include:</w:t>
      </w:r>
    </w:p>
    <w:p w14:paraId="00000014"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 Latest Business Registration Certificate;</w:t>
      </w:r>
    </w:p>
    <w:p w14:paraId="00000015"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 Charter;</w:t>
      </w:r>
    </w:p>
    <w:p w14:paraId="00000016"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 General Mandate on asset transfer;</w:t>
      </w:r>
    </w:p>
    <w:p w14:paraId="00000017"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lastRenderedPageBreak/>
        <w:t>+ Principle contract on property transfer;</w:t>
      </w:r>
    </w:p>
    <w:p w14:paraId="00000018"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 Certificate of appraisal accompanied by the Business Appraisal Certificate issued by the Ministry of Finance;</w:t>
      </w:r>
    </w:p>
    <w:p w14:paraId="00000019" w14:textId="0503FD36"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 Certificate of land use rights and ownership of residential houses No. CN 430425 issued by the People's Committee of Go Vap District on January 29, 2019;</w:t>
      </w:r>
    </w:p>
    <w:p w14:paraId="0000001A" w14:textId="616C4399"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 Financial Statements 2022;</w:t>
      </w:r>
    </w:p>
    <w:p w14:paraId="0000001B"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Article 2: Terms of enforcement</w:t>
      </w:r>
    </w:p>
    <w:p w14:paraId="0000001C"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This Board Resolution replaces Board Resolution No. 3110-2/2023/NQ-HDQT dated October 31, 2023.</w:t>
      </w:r>
    </w:p>
    <w:p w14:paraId="0000001D" w14:textId="77777777" w:rsidR="00CA1366" w:rsidRPr="007E0E60" w:rsidRDefault="007E0E60" w:rsidP="00F56320">
      <w:pPr>
        <w:pBdr>
          <w:top w:val="nil"/>
          <w:left w:val="nil"/>
          <w:bottom w:val="nil"/>
          <w:right w:val="nil"/>
          <w:between w:val="nil"/>
        </w:pBdr>
        <w:spacing w:after="120" w:line="360" w:lineRule="auto"/>
        <w:jc w:val="both"/>
        <w:rPr>
          <w:rFonts w:ascii="Arial" w:eastAsia="Arial" w:hAnsi="Arial" w:cs="Arial"/>
          <w:color w:val="010000"/>
          <w:sz w:val="20"/>
          <w:szCs w:val="20"/>
        </w:rPr>
      </w:pPr>
      <w:r w:rsidRPr="007E0E60">
        <w:rPr>
          <w:rFonts w:ascii="Arial" w:hAnsi="Arial" w:cs="Arial"/>
          <w:color w:val="010000"/>
          <w:sz w:val="20"/>
        </w:rPr>
        <w:t>This Resolution takes effect from the date of its signing. Members of the Board of Directors, the General Manager, heads of units and departments, and relevant individuals are responsible for the implementation of this Resolution.</w:t>
      </w:r>
    </w:p>
    <w:sectPr w:rsidR="00CA1366" w:rsidRPr="007E0E60" w:rsidSect="00BD057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4D80"/>
    <w:multiLevelType w:val="multilevel"/>
    <w:tmpl w:val="701E89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66"/>
    <w:rsid w:val="007E0E60"/>
    <w:rsid w:val="00BD057D"/>
    <w:rsid w:val="00CA1366"/>
    <w:rsid w:val="00F5632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BAA67"/>
  <w15:docId w15:val="{82BAE5EA-F83C-4A6D-ABBF-5C194DEB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24F6E"/>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50" w:lineRule="auto"/>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b/>
      <w:bCs/>
      <w:color w:val="D24F6E"/>
      <w:sz w:val="14"/>
      <w:szCs w:val="14"/>
    </w:rPr>
  </w:style>
  <w:style w:type="paragraph" w:customStyle="1" w:styleId="Heading11">
    <w:name w:val="Heading #1"/>
    <w:basedOn w:val="Normal"/>
    <w:link w:val="Heading10"/>
    <w:pPr>
      <w:spacing w:line="295" w:lineRule="auto"/>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6fhxGo1+DRcrOUD/BuwthRGrqg==">CgMxLjA4AHIhMXRTVEN5MUkxTUxJOExfQTBfUHBjaDRKd0FlOTg2a0wt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2024-04-22T03:32:00Z</dcterms:created>
  <dcterms:modified xsi:type="dcterms:W3CDTF">2024-04-23T04:21:00Z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ca8b7e4d21c1ff1af4f362d6354f7d6dcec1c9d85f919b5dd8c217449a1b916d</vt:lpwstr>
  </property>
</Properties>
</file>