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D1351"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SZE: Annual General Mandate 2024</w:t>
      </w:r>
    </w:p>
    <w:p w14:paraId="779AEB28"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16, 2024, </w:t>
      </w:r>
      <w:proofErr w:type="spellStart"/>
      <w:r>
        <w:rPr>
          <w:rFonts w:ascii="Arial" w:hAnsi="Arial"/>
          <w:color w:val="010000"/>
          <w:sz w:val="20"/>
        </w:rPr>
        <w:t>Sonadezi</w:t>
      </w:r>
      <w:proofErr w:type="spellEnd"/>
      <w:r>
        <w:rPr>
          <w:rFonts w:ascii="Arial" w:hAnsi="Arial"/>
          <w:color w:val="010000"/>
          <w:sz w:val="20"/>
        </w:rPr>
        <w:t xml:space="preserve"> Environment Joint Stock Company announced General Mandate No. 73/NQ-SZE-DHDCD on the 2024 Annual General Meeting of Shareholders as follows:  </w:t>
      </w:r>
    </w:p>
    <w:p w14:paraId="0D3C4A7B"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The Annual General Meeting of Shareholders 2024 of </w:t>
      </w:r>
      <w:proofErr w:type="spellStart"/>
      <w:r>
        <w:rPr>
          <w:rFonts w:ascii="Arial" w:hAnsi="Arial"/>
          <w:color w:val="010000"/>
          <w:sz w:val="20"/>
        </w:rPr>
        <w:t>Sonadezi</w:t>
      </w:r>
      <w:proofErr w:type="spellEnd"/>
      <w:r>
        <w:rPr>
          <w:rFonts w:ascii="Arial" w:hAnsi="Arial"/>
          <w:color w:val="010000"/>
          <w:sz w:val="20"/>
        </w:rPr>
        <w:t xml:space="preserve"> Environment Joint Stock Company voted and approved the following contents:</w:t>
      </w:r>
    </w:p>
    <w:p w14:paraId="5D02085B" w14:textId="77777777" w:rsidR="002B056D" w:rsidRDefault="00390D89" w:rsidP="006664D9">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report on production and business results in 2023 and the plan for 2024.</w:t>
      </w:r>
    </w:p>
    <w:p w14:paraId="32076353"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 Production and business results 2023</w:t>
      </w:r>
    </w:p>
    <w:tbl>
      <w:tblPr>
        <w:tblStyle w:val="a"/>
        <w:tblW w:w="9017" w:type="dxa"/>
        <w:tblLayout w:type="fixed"/>
        <w:tblLook w:val="0000" w:firstRow="0" w:lastRow="0" w:firstColumn="0" w:lastColumn="0" w:noHBand="0" w:noVBand="0"/>
      </w:tblPr>
      <w:tblGrid>
        <w:gridCol w:w="563"/>
        <w:gridCol w:w="3270"/>
        <w:gridCol w:w="1266"/>
        <w:gridCol w:w="1291"/>
        <w:gridCol w:w="1336"/>
        <w:gridCol w:w="1291"/>
      </w:tblGrid>
      <w:tr w:rsidR="002B056D" w14:paraId="46FD62FF" w14:textId="77777777">
        <w:tc>
          <w:tcPr>
            <w:tcW w:w="563" w:type="dxa"/>
            <w:vMerge w:val="restart"/>
            <w:tcBorders>
              <w:top w:val="single" w:sz="4" w:space="0" w:color="000000"/>
              <w:left w:val="single" w:sz="4" w:space="0" w:color="000000"/>
            </w:tcBorders>
            <w:shd w:val="clear" w:color="auto" w:fill="auto"/>
            <w:tcMar>
              <w:top w:w="0" w:type="dxa"/>
              <w:bottom w:w="0" w:type="dxa"/>
            </w:tcMar>
            <w:vAlign w:val="center"/>
          </w:tcPr>
          <w:p w14:paraId="607A3FF1"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270" w:type="dxa"/>
            <w:tcBorders>
              <w:top w:val="single" w:sz="4" w:space="0" w:color="000000"/>
              <w:left w:val="single" w:sz="4" w:space="0" w:color="000000"/>
            </w:tcBorders>
            <w:shd w:val="clear" w:color="auto" w:fill="auto"/>
            <w:tcMar>
              <w:top w:w="0" w:type="dxa"/>
              <w:bottom w:w="0" w:type="dxa"/>
            </w:tcMar>
            <w:vAlign w:val="center"/>
          </w:tcPr>
          <w:p w14:paraId="4CF3E3C1"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266" w:type="dxa"/>
            <w:tcBorders>
              <w:top w:val="single" w:sz="4" w:space="0" w:color="000000"/>
              <w:left w:val="single" w:sz="4" w:space="0" w:color="000000"/>
            </w:tcBorders>
            <w:shd w:val="clear" w:color="auto" w:fill="auto"/>
            <w:tcMar>
              <w:top w:w="0" w:type="dxa"/>
              <w:bottom w:w="0" w:type="dxa"/>
            </w:tcMar>
            <w:vAlign w:val="center"/>
          </w:tcPr>
          <w:p w14:paraId="43754FD6"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291" w:type="dxa"/>
            <w:tcBorders>
              <w:top w:val="single" w:sz="4" w:space="0" w:color="000000"/>
              <w:left w:val="single" w:sz="4" w:space="0" w:color="000000"/>
            </w:tcBorders>
            <w:shd w:val="clear" w:color="auto" w:fill="auto"/>
            <w:tcMar>
              <w:top w:w="0" w:type="dxa"/>
              <w:bottom w:w="0" w:type="dxa"/>
            </w:tcMar>
            <w:vAlign w:val="center"/>
          </w:tcPr>
          <w:p w14:paraId="06848DBA" w14:textId="5D843BE3"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1336" w:type="dxa"/>
            <w:tcBorders>
              <w:top w:val="single" w:sz="4" w:space="0" w:color="000000"/>
              <w:left w:val="single" w:sz="4" w:space="0" w:color="000000"/>
            </w:tcBorders>
            <w:shd w:val="clear" w:color="auto" w:fill="auto"/>
            <w:tcMar>
              <w:top w:w="0" w:type="dxa"/>
              <w:bottom w:w="0" w:type="dxa"/>
            </w:tcMar>
            <w:vAlign w:val="center"/>
          </w:tcPr>
          <w:p w14:paraId="263DC8E7" w14:textId="7A6BD668"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Results</w:t>
            </w:r>
          </w:p>
          <w:p w14:paraId="2B50FF77"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2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653EE3"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Rate</w:t>
            </w:r>
          </w:p>
          <w:p w14:paraId="102A6F52"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r>
      <w:tr w:rsidR="002B056D" w14:paraId="239C1C37" w14:textId="77777777">
        <w:tc>
          <w:tcPr>
            <w:tcW w:w="563" w:type="dxa"/>
            <w:vMerge/>
            <w:tcBorders>
              <w:top w:val="single" w:sz="4" w:space="0" w:color="000000"/>
              <w:left w:val="single" w:sz="4" w:space="0" w:color="000000"/>
            </w:tcBorders>
            <w:shd w:val="clear" w:color="auto" w:fill="auto"/>
            <w:tcMar>
              <w:top w:w="0" w:type="dxa"/>
              <w:bottom w:w="0" w:type="dxa"/>
            </w:tcMar>
            <w:vAlign w:val="center"/>
          </w:tcPr>
          <w:p w14:paraId="01CBB20C" w14:textId="77777777" w:rsidR="002B056D" w:rsidRDefault="002B056D">
            <w:pPr>
              <w:pBdr>
                <w:top w:val="nil"/>
                <w:left w:val="nil"/>
                <w:bottom w:val="nil"/>
                <w:right w:val="nil"/>
                <w:between w:val="nil"/>
              </w:pBdr>
              <w:spacing w:line="276" w:lineRule="auto"/>
              <w:rPr>
                <w:rFonts w:ascii="Arial" w:eastAsia="Arial" w:hAnsi="Arial" w:cs="Arial"/>
                <w:color w:val="010000"/>
                <w:sz w:val="20"/>
                <w:szCs w:val="20"/>
              </w:rPr>
            </w:pPr>
          </w:p>
        </w:tc>
        <w:tc>
          <w:tcPr>
            <w:tcW w:w="3270" w:type="dxa"/>
            <w:tcBorders>
              <w:left w:val="single" w:sz="4" w:space="0" w:color="000000"/>
            </w:tcBorders>
            <w:shd w:val="clear" w:color="auto" w:fill="auto"/>
            <w:tcMar>
              <w:top w:w="0" w:type="dxa"/>
              <w:bottom w:w="0" w:type="dxa"/>
            </w:tcMar>
            <w:vAlign w:val="center"/>
          </w:tcPr>
          <w:p w14:paraId="7E7A2EED" w14:textId="77777777" w:rsidR="002B056D" w:rsidRDefault="002B056D">
            <w:pPr>
              <w:spacing w:after="120" w:line="360" w:lineRule="auto"/>
              <w:jc w:val="center"/>
              <w:rPr>
                <w:rFonts w:ascii="Arial" w:eastAsia="Arial" w:hAnsi="Arial" w:cs="Arial"/>
                <w:color w:val="010000"/>
                <w:sz w:val="20"/>
                <w:szCs w:val="20"/>
              </w:rPr>
            </w:pPr>
          </w:p>
        </w:tc>
        <w:tc>
          <w:tcPr>
            <w:tcW w:w="1266" w:type="dxa"/>
            <w:tcBorders>
              <w:left w:val="single" w:sz="4" w:space="0" w:color="000000"/>
            </w:tcBorders>
            <w:shd w:val="clear" w:color="auto" w:fill="auto"/>
            <w:tcMar>
              <w:top w:w="0" w:type="dxa"/>
              <w:bottom w:w="0" w:type="dxa"/>
            </w:tcMar>
            <w:vAlign w:val="center"/>
          </w:tcPr>
          <w:p w14:paraId="30673FA0" w14:textId="77777777" w:rsidR="002B056D" w:rsidRDefault="002B056D">
            <w:pPr>
              <w:spacing w:after="120" w:line="360" w:lineRule="auto"/>
              <w:jc w:val="center"/>
              <w:rPr>
                <w:rFonts w:ascii="Arial" w:eastAsia="Arial" w:hAnsi="Arial" w:cs="Arial"/>
                <w:color w:val="010000"/>
                <w:sz w:val="20"/>
                <w:szCs w:val="20"/>
              </w:rPr>
            </w:pPr>
          </w:p>
        </w:tc>
        <w:tc>
          <w:tcPr>
            <w:tcW w:w="1291" w:type="dxa"/>
            <w:tcBorders>
              <w:top w:val="single" w:sz="4" w:space="0" w:color="000000"/>
              <w:left w:val="single" w:sz="4" w:space="0" w:color="000000"/>
            </w:tcBorders>
            <w:shd w:val="clear" w:color="auto" w:fill="auto"/>
            <w:tcMar>
              <w:top w:w="0" w:type="dxa"/>
              <w:bottom w:w="0" w:type="dxa"/>
            </w:tcMar>
            <w:vAlign w:val="center"/>
          </w:tcPr>
          <w:p w14:paraId="04009B8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36" w:type="dxa"/>
            <w:tcBorders>
              <w:top w:val="single" w:sz="4" w:space="0" w:color="000000"/>
              <w:left w:val="single" w:sz="4" w:space="0" w:color="000000"/>
            </w:tcBorders>
            <w:shd w:val="clear" w:color="auto" w:fill="auto"/>
            <w:tcMar>
              <w:top w:w="0" w:type="dxa"/>
              <w:bottom w:w="0" w:type="dxa"/>
            </w:tcMar>
            <w:vAlign w:val="center"/>
          </w:tcPr>
          <w:p w14:paraId="265BE2B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2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162BD3"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 = (2)/(1)</w:t>
            </w:r>
          </w:p>
        </w:tc>
      </w:tr>
      <w:tr w:rsidR="002B056D" w14:paraId="56D98AE5" w14:textId="77777777">
        <w:tc>
          <w:tcPr>
            <w:tcW w:w="563" w:type="dxa"/>
            <w:tcBorders>
              <w:top w:val="single" w:sz="4" w:space="0" w:color="000000"/>
              <w:left w:val="single" w:sz="4" w:space="0" w:color="000000"/>
            </w:tcBorders>
            <w:shd w:val="clear" w:color="auto" w:fill="auto"/>
            <w:tcMar>
              <w:top w:w="0" w:type="dxa"/>
              <w:bottom w:w="0" w:type="dxa"/>
            </w:tcMar>
            <w:vAlign w:val="center"/>
          </w:tcPr>
          <w:p w14:paraId="36F3264C"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3270" w:type="dxa"/>
            <w:tcBorders>
              <w:top w:val="single" w:sz="4" w:space="0" w:color="000000"/>
              <w:left w:val="single" w:sz="4" w:space="0" w:color="000000"/>
            </w:tcBorders>
            <w:shd w:val="clear" w:color="auto" w:fill="auto"/>
            <w:tcMar>
              <w:top w:w="0" w:type="dxa"/>
              <w:bottom w:w="0" w:type="dxa"/>
            </w:tcMar>
            <w:vAlign w:val="center"/>
          </w:tcPr>
          <w:p w14:paraId="291113EB" w14:textId="77777777" w:rsidR="002B056D" w:rsidRDefault="00390D89">
            <w:pPr>
              <w:pBdr>
                <w:top w:val="nil"/>
                <w:left w:val="nil"/>
                <w:bottom w:val="nil"/>
                <w:right w:val="nil"/>
                <w:between w:val="nil"/>
              </w:pBdr>
              <w:spacing w:after="120" w:line="360" w:lineRule="auto"/>
              <w:ind w:left="125"/>
              <w:rPr>
                <w:rFonts w:ascii="Arial" w:eastAsia="Arial" w:hAnsi="Arial" w:cs="Arial"/>
                <w:color w:val="010000"/>
                <w:sz w:val="20"/>
                <w:szCs w:val="20"/>
              </w:rPr>
            </w:pPr>
            <w:r>
              <w:rPr>
                <w:rFonts w:ascii="Arial" w:hAnsi="Arial"/>
                <w:color w:val="010000"/>
                <w:sz w:val="20"/>
              </w:rPr>
              <w:t>Total revenue:</w:t>
            </w:r>
          </w:p>
        </w:tc>
        <w:tc>
          <w:tcPr>
            <w:tcW w:w="1266" w:type="dxa"/>
            <w:tcBorders>
              <w:top w:val="single" w:sz="4" w:space="0" w:color="000000"/>
              <w:left w:val="single" w:sz="4" w:space="0" w:color="000000"/>
            </w:tcBorders>
            <w:shd w:val="clear" w:color="auto" w:fill="auto"/>
            <w:tcMar>
              <w:top w:w="0" w:type="dxa"/>
              <w:bottom w:w="0" w:type="dxa"/>
            </w:tcMar>
            <w:vAlign w:val="center"/>
          </w:tcPr>
          <w:p w14:paraId="0F35DDD7"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291" w:type="dxa"/>
            <w:tcBorders>
              <w:top w:val="single" w:sz="4" w:space="0" w:color="000000"/>
              <w:left w:val="single" w:sz="4" w:space="0" w:color="000000"/>
            </w:tcBorders>
            <w:shd w:val="clear" w:color="auto" w:fill="auto"/>
            <w:tcMar>
              <w:top w:w="0" w:type="dxa"/>
              <w:bottom w:w="0" w:type="dxa"/>
            </w:tcMar>
            <w:vAlign w:val="center"/>
          </w:tcPr>
          <w:p w14:paraId="208C2ED0"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448,435</w:t>
            </w:r>
          </w:p>
        </w:tc>
        <w:tc>
          <w:tcPr>
            <w:tcW w:w="1336" w:type="dxa"/>
            <w:tcBorders>
              <w:top w:val="single" w:sz="4" w:space="0" w:color="000000"/>
              <w:left w:val="single" w:sz="4" w:space="0" w:color="000000"/>
            </w:tcBorders>
            <w:shd w:val="clear" w:color="auto" w:fill="auto"/>
            <w:tcMar>
              <w:top w:w="0" w:type="dxa"/>
              <w:bottom w:w="0" w:type="dxa"/>
            </w:tcMar>
            <w:vAlign w:val="center"/>
          </w:tcPr>
          <w:p w14:paraId="3CECB3C2"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434,764</w:t>
            </w:r>
          </w:p>
        </w:tc>
        <w:tc>
          <w:tcPr>
            <w:tcW w:w="12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B8FD48"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96.95</w:t>
            </w:r>
          </w:p>
        </w:tc>
      </w:tr>
      <w:tr w:rsidR="002B056D" w14:paraId="43B55CD9" w14:textId="77777777">
        <w:tc>
          <w:tcPr>
            <w:tcW w:w="563" w:type="dxa"/>
            <w:tcBorders>
              <w:top w:val="single" w:sz="4" w:space="0" w:color="000000"/>
              <w:left w:val="single" w:sz="4" w:space="0" w:color="000000"/>
            </w:tcBorders>
            <w:shd w:val="clear" w:color="auto" w:fill="auto"/>
            <w:tcMar>
              <w:top w:w="0" w:type="dxa"/>
              <w:bottom w:w="0" w:type="dxa"/>
            </w:tcMar>
            <w:vAlign w:val="center"/>
          </w:tcPr>
          <w:p w14:paraId="72B267E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3270" w:type="dxa"/>
            <w:tcBorders>
              <w:top w:val="single" w:sz="4" w:space="0" w:color="000000"/>
              <w:left w:val="single" w:sz="4" w:space="0" w:color="000000"/>
            </w:tcBorders>
            <w:shd w:val="clear" w:color="auto" w:fill="auto"/>
            <w:tcMar>
              <w:top w:w="0" w:type="dxa"/>
              <w:bottom w:w="0" w:type="dxa"/>
            </w:tcMar>
            <w:vAlign w:val="center"/>
          </w:tcPr>
          <w:p w14:paraId="4149EF26" w14:textId="77777777" w:rsidR="002B056D" w:rsidRDefault="00390D89">
            <w:pPr>
              <w:pBdr>
                <w:top w:val="nil"/>
                <w:left w:val="nil"/>
                <w:bottom w:val="nil"/>
                <w:right w:val="nil"/>
                <w:between w:val="nil"/>
              </w:pBdr>
              <w:spacing w:after="120" w:line="360" w:lineRule="auto"/>
              <w:ind w:left="125"/>
              <w:rPr>
                <w:rFonts w:ascii="Arial" w:eastAsia="Arial" w:hAnsi="Arial" w:cs="Arial"/>
                <w:color w:val="010000"/>
                <w:sz w:val="20"/>
                <w:szCs w:val="20"/>
              </w:rPr>
            </w:pPr>
            <w:r>
              <w:rPr>
                <w:rFonts w:ascii="Arial" w:hAnsi="Arial"/>
                <w:color w:val="010000"/>
                <w:sz w:val="20"/>
              </w:rPr>
              <w:t>Profit before tax</w:t>
            </w:r>
          </w:p>
        </w:tc>
        <w:tc>
          <w:tcPr>
            <w:tcW w:w="1266" w:type="dxa"/>
            <w:tcBorders>
              <w:top w:val="single" w:sz="4" w:space="0" w:color="000000"/>
              <w:left w:val="single" w:sz="4" w:space="0" w:color="000000"/>
            </w:tcBorders>
            <w:shd w:val="clear" w:color="auto" w:fill="auto"/>
            <w:tcMar>
              <w:top w:w="0" w:type="dxa"/>
              <w:bottom w:w="0" w:type="dxa"/>
            </w:tcMar>
            <w:vAlign w:val="center"/>
          </w:tcPr>
          <w:p w14:paraId="4C686EFA"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291" w:type="dxa"/>
            <w:tcBorders>
              <w:top w:val="single" w:sz="4" w:space="0" w:color="000000"/>
              <w:left w:val="single" w:sz="4" w:space="0" w:color="000000"/>
            </w:tcBorders>
            <w:shd w:val="clear" w:color="auto" w:fill="auto"/>
            <w:tcMar>
              <w:top w:w="0" w:type="dxa"/>
              <w:bottom w:w="0" w:type="dxa"/>
            </w:tcMar>
            <w:vAlign w:val="center"/>
          </w:tcPr>
          <w:p w14:paraId="5D76556B"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35,332</w:t>
            </w:r>
          </w:p>
        </w:tc>
        <w:tc>
          <w:tcPr>
            <w:tcW w:w="1336" w:type="dxa"/>
            <w:tcBorders>
              <w:top w:val="single" w:sz="4" w:space="0" w:color="000000"/>
              <w:left w:val="single" w:sz="4" w:space="0" w:color="000000"/>
            </w:tcBorders>
            <w:shd w:val="clear" w:color="auto" w:fill="auto"/>
            <w:tcMar>
              <w:top w:w="0" w:type="dxa"/>
              <w:bottom w:w="0" w:type="dxa"/>
            </w:tcMar>
            <w:vAlign w:val="center"/>
          </w:tcPr>
          <w:p w14:paraId="1FB7D997"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37,183</w:t>
            </w:r>
          </w:p>
        </w:tc>
        <w:tc>
          <w:tcPr>
            <w:tcW w:w="12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234906"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105.24</w:t>
            </w:r>
          </w:p>
        </w:tc>
      </w:tr>
      <w:tr w:rsidR="002B056D" w14:paraId="3CB5C34D" w14:textId="77777777">
        <w:tc>
          <w:tcPr>
            <w:tcW w:w="563" w:type="dxa"/>
            <w:tcBorders>
              <w:top w:val="single" w:sz="4" w:space="0" w:color="000000"/>
              <w:left w:val="single" w:sz="4" w:space="0" w:color="000000"/>
            </w:tcBorders>
            <w:shd w:val="clear" w:color="auto" w:fill="auto"/>
            <w:tcMar>
              <w:top w:w="0" w:type="dxa"/>
              <w:bottom w:w="0" w:type="dxa"/>
            </w:tcMar>
            <w:vAlign w:val="center"/>
          </w:tcPr>
          <w:p w14:paraId="1FB7B971"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3270" w:type="dxa"/>
            <w:tcBorders>
              <w:top w:val="single" w:sz="4" w:space="0" w:color="000000"/>
              <w:left w:val="single" w:sz="4" w:space="0" w:color="000000"/>
            </w:tcBorders>
            <w:shd w:val="clear" w:color="auto" w:fill="auto"/>
            <w:tcMar>
              <w:top w:w="0" w:type="dxa"/>
              <w:bottom w:w="0" w:type="dxa"/>
            </w:tcMar>
            <w:vAlign w:val="center"/>
          </w:tcPr>
          <w:p w14:paraId="6651D7E6" w14:textId="77777777" w:rsidR="002B056D" w:rsidRDefault="00390D89">
            <w:pPr>
              <w:pBdr>
                <w:top w:val="nil"/>
                <w:left w:val="nil"/>
                <w:bottom w:val="nil"/>
                <w:right w:val="nil"/>
                <w:between w:val="nil"/>
              </w:pBdr>
              <w:spacing w:after="120" w:line="360" w:lineRule="auto"/>
              <w:ind w:left="125"/>
              <w:rPr>
                <w:rFonts w:ascii="Arial" w:eastAsia="Arial" w:hAnsi="Arial" w:cs="Arial"/>
                <w:color w:val="010000"/>
                <w:sz w:val="20"/>
                <w:szCs w:val="20"/>
              </w:rPr>
            </w:pPr>
            <w:r>
              <w:rPr>
                <w:rFonts w:ascii="Arial" w:hAnsi="Arial"/>
                <w:color w:val="010000"/>
                <w:sz w:val="20"/>
              </w:rPr>
              <w:t>Profit after tax</w:t>
            </w:r>
          </w:p>
        </w:tc>
        <w:tc>
          <w:tcPr>
            <w:tcW w:w="1266" w:type="dxa"/>
            <w:tcBorders>
              <w:top w:val="single" w:sz="4" w:space="0" w:color="000000"/>
              <w:left w:val="single" w:sz="4" w:space="0" w:color="000000"/>
            </w:tcBorders>
            <w:shd w:val="clear" w:color="auto" w:fill="auto"/>
            <w:tcMar>
              <w:top w:w="0" w:type="dxa"/>
              <w:bottom w:w="0" w:type="dxa"/>
            </w:tcMar>
            <w:vAlign w:val="center"/>
          </w:tcPr>
          <w:p w14:paraId="6CD48711"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291" w:type="dxa"/>
            <w:tcBorders>
              <w:top w:val="single" w:sz="4" w:space="0" w:color="000000"/>
              <w:left w:val="single" w:sz="4" w:space="0" w:color="000000"/>
            </w:tcBorders>
            <w:shd w:val="clear" w:color="auto" w:fill="auto"/>
            <w:tcMar>
              <w:top w:w="0" w:type="dxa"/>
              <w:bottom w:w="0" w:type="dxa"/>
            </w:tcMar>
            <w:vAlign w:val="center"/>
          </w:tcPr>
          <w:p w14:paraId="304E8253"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28,266</w:t>
            </w:r>
          </w:p>
        </w:tc>
        <w:tc>
          <w:tcPr>
            <w:tcW w:w="1336" w:type="dxa"/>
            <w:tcBorders>
              <w:top w:val="single" w:sz="4" w:space="0" w:color="000000"/>
              <w:left w:val="single" w:sz="4" w:space="0" w:color="000000"/>
            </w:tcBorders>
            <w:shd w:val="clear" w:color="auto" w:fill="auto"/>
            <w:tcMar>
              <w:top w:w="0" w:type="dxa"/>
              <w:bottom w:w="0" w:type="dxa"/>
            </w:tcMar>
            <w:vAlign w:val="center"/>
          </w:tcPr>
          <w:p w14:paraId="4EEA7A66"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29,355</w:t>
            </w:r>
          </w:p>
        </w:tc>
        <w:tc>
          <w:tcPr>
            <w:tcW w:w="12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668981"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103.85</w:t>
            </w:r>
          </w:p>
        </w:tc>
      </w:tr>
      <w:tr w:rsidR="002B056D" w14:paraId="2D41073B" w14:textId="77777777">
        <w:tc>
          <w:tcPr>
            <w:tcW w:w="563" w:type="dxa"/>
            <w:tcBorders>
              <w:top w:val="single" w:sz="4" w:space="0" w:color="000000"/>
              <w:left w:val="single" w:sz="4" w:space="0" w:color="000000"/>
            </w:tcBorders>
            <w:shd w:val="clear" w:color="auto" w:fill="auto"/>
            <w:tcMar>
              <w:top w:w="0" w:type="dxa"/>
              <w:bottom w:w="0" w:type="dxa"/>
            </w:tcMar>
            <w:vAlign w:val="center"/>
          </w:tcPr>
          <w:p w14:paraId="2412259C"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3270" w:type="dxa"/>
            <w:tcBorders>
              <w:top w:val="single" w:sz="4" w:space="0" w:color="000000"/>
              <w:left w:val="single" w:sz="4" w:space="0" w:color="000000"/>
            </w:tcBorders>
            <w:shd w:val="clear" w:color="auto" w:fill="auto"/>
            <w:tcMar>
              <w:top w:w="0" w:type="dxa"/>
              <w:bottom w:w="0" w:type="dxa"/>
            </w:tcMar>
            <w:vAlign w:val="center"/>
          </w:tcPr>
          <w:p w14:paraId="673993D5" w14:textId="77777777" w:rsidR="002B056D" w:rsidRDefault="00390D89">
            <w:pPr>
              <w:pBdr>
                <w:top w:val="nil"/>
                <w:left w:val="nil"/>
                <w:bottom w:val="nil"/>
                <w:right w:val="nil"/>
                <w:between w:val="nil"/>
              </w:pBdr>
              <w:spacing w:after="120" w:line="360" w:lineRule="auto"/>
              <w:ind w:left="125"/>
              <w:rPr>
                <w:rFonts w:ascii="Arial" w:eastAsia="Arial" w:hAnsi="Arial" w:cs="Arial"/>
                <w:color w:val="010000"/>
                <w:sz w:val="20"/>
                <w:szCs w:val="20"/>
              </w:rPr>
            </w:pPr>
            <w:r>
              <w:rPr>
                <w:rFonts w:ascii="Arial" w:hAnsi="Arial"/>
                <w:color w:val="010000"/>
                <w:sz w:val="20"/>
              </w:rPr>
              <w:t>Budget contribution (excluding personal income tax)</w:t>
            </w:r>
          </w:p>
          <w:p w14:paraId="26E93B21" w14:textId="77777777" w:rsidR="002B056D" w:rsidRDefault="002B056D">
            <w:pPr>
              <w:pBdr>
                <w:top w:val="nil"/>
                <w:left w:val="nil"/>
                <w:bottom w:val="nil"/>
                <w:right w:val="nil"/>
                <w:between w:val="nil"/>
              </w:pBdr>
              <w:spacing w:after="120" w:line="360" w:lineRule="auto"/>
              <w:ind w:left="125"/>
              <w:rPr>
                <w:rFonts w:ascii="Arial" w:eastAsia="Arial" w:hAnsi="Arial" w:cs="Arial"/>
                <w:color w:val="010000"/>
                <w:sz w:val="20"/>
                <w:szCs w:val="20"/>
              </w:rPr>
            </w:pPr>
          </w:p>
        </w:tc>
        <w:tc>
          <w:tcPr>
            <w:tcW w:w="1266" w:type="dxa"/>
            <w:tcBorders>
              <w:top w:val="single" w:sz="4" w:space="0" w:color="000000"/>
              <w:left w:val="single" w:sz="4" w:space="0" w:color="000000"/>
            </w:tcBorders>
            <w:shd w:val="clear" w:color="auto" w:fill="auto"/>
            <w:tcMar>
              <w:top w:w="0" w:type="dxa"/>
              <w:bottom w:w="0" w:type="dxa"/>
            </w:tcMar>
            <w:vAlign w:val="center"/>
          </w:tcPr>
          <w:p w14:paraId="5C8E3847"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1291" w:type="dxa"/>
            <w:tcBorders>
              <w:top w:val="single" w:sz="4" w:space="0" w:color="000000"/>
              <w:left w:val="single" w:sz="4" w:space="0" w:color="000000"/>
            </w:tcBorders>
            <w:shd w:val="clear" w:color="auto" w:fill="auto"/>
            <w:tcMar>
              <w:top w:w="0" w:type="dxa"/>
              <w:bottom w:w="0" w:type="dxa"/>
            </w:tcMar>
            <w:vAlign w:val="center"/>
          </w:tcPr>
          <w:p w14:paraId="5711ED15"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20,346</w:t>
            </w:r>
          </w:p>
        </w:tc>
        <w:tc>
          <w:tcPr>
            <w:tcW w:w="1336" w:type="dxa"/>
            <w:tcBorders>
              <w:top w:val="single" w:sz="4" w:space="0" w:color="000000"/>
              <w:left w:val="single" w:sz="4" w:space="0" w:color="000000"/>
            </w:tcBorders>
            <w:shd w:val="clear" w:color="auto" w:fill="auto"/>
            <w:tcMar>
              <w:top w:w="0" w:type="dxa"/>
              <w:bottom w:w="0" w:type="dxa"/>
            </w:tcMar>
            <w:vAlign w:val="center"/>
          </w:tcPr>
          <w:p w14:paraId="65C1310B"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26,618</w:t>
            </w:r>
          </w:p>
        </w:tc>
        <w:tc>
          <w:tcPr>
            <w:tcW w:w="12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835AD9"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130.83</w:t>
            </w:r>
          </w:p>
        </w:tc>
      </w:tr>
      <w:tr w:rsidR="002B056D" w14:paraId="1B4D239D" w14:textId="77777777">
        <w:tc>
          <w:tcPr>
            <w:tcW w:w="563" w:type="dxa"/>
            <w:tcBorders>
              <w:top w:val="single" w:sz="4" w:space="0" w:color="000000"/>
              <w:left w:val="single" w:sz="4" w:space="0" w:color="000000"/>
            </w:tcBorders>
            <w:shd w:val="clear" w:color="auto" w:fill="auto"/>
            <w:tcMar>
              <w:top w:w="0" w:type="dxa"/>
              <w:bottom w:w="0" w:type="dxa"/>
            </w:tcMar>
            <w:vAlign w:val="center"/>
          </w:tcPr>
          <w:p w14:paraId="32BF3874"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3270" w:type="dxa"/>
            <w:tcBorders>
              <w:top w:val="single" w:sz="4" w:space="0" w:color="000000"/>
              <w:left w:val="single" w:sz="4" w:space="0" w:color="000000"/>
            </w:tcBorders>
            <w:shd w:val="clear" w:color="auto" w:fill="auto"/>
            <w:tcMar>
              <w:top w:w="0" w:type="dxa"/>
              <w:bottom w:w="0" w:type="dxa"/>
            </w:tcMar>
            <w:vAlign w:val="center"/>
          </w:tcPr>
          <w:p w14:paraId="6CE581B2" w14:textId="77777777" w:rsidR="002B056D" w:rsidRDefault="00390D89">
            <w:pPr>
              <w:pBdr>
                <w:top w:val="nil"/>
                <w:left w:val="nil"/>
                <w:bottom w:val="nil"/>
                <w:right w:val="nil"/>
                <w:between w:val="nil"/>
              </w:pBdr>
              <w:spacing w:after="120" w:line="360" w:lineRule="auto"/>
              <w:ind w:left="125"/>
              <w:rPr>
                <w:rFonts w:ascii="Arial" w:eastAsia="Arial" w:hAnsi="Arial" w:cs="Arial"/>
                <w:color w:val="010000"/>
                <w:sz w:val="20"/>
                <w:szCs w:val="20"/>
              </w:rPr>
            </w:pPr>
            <w:r>
              <w:rPr>
                <w:rFonts w:ascii="Arial" w:hAnsi="Arial"/>
                <w:color w:val="010000"/>
                <w:sz w:val="20"/>
              </w:rPr>
              <w:t>Return on equity</w:t>
            </w:r>
          </w:p>
        </w:tc>
        <w:tc>
          <w:tcPr>
            <w:tcW w:w="1266" w:type="dxa"/>
            <w:tcBorders>
              <w:top w:val="single" w:sz="4" w:space="0" w:color="000000"/>
              <w:left w:val="single" w:sz="4" w:space="0" w:color="000000"/>
            </w:tcBorders>
            <w:shd w:val="clear" w:color="auto" w:fill="auto"/>
            <w:tcMar>
              <w:top w:w="0" w:type="dxa"/>
              <w:bottom w:w="0" w:type="dxa"/>
            </w:tcMar>
            <w:vAlign w:val="center"/>
          </w:tcPr>
          <w:p w14:paraId="3BAD7569"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1291" w:type="dxa"/>
            <w:tcBorders>
              <w:top w:val="single" w:sz="4" w:space="0" w:color="000000"/>
              <w:left w:val="single" w:sz="4" w:space="0" w:color="000000"/>
            </w:tcBorders>
            <w:shd w:val="clear" w:color="auto" w:fill="auto"/>
            <w:tcMar>
              <w:top w:w="0" w:type="dxa"/>
              <w:bottom w:w="0" w:type="dxa"/>
            </w:tcMar>
            <w:vAlign w:val="center"/>
          </w:tcPr>
          <w:p w14:paraId="087E1EC8"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8.79</w:t>
            </w:r>
          </w:p>
        </w:tc>
        <w:tc>
          <w:tcPr>
            <w:tcW w:w="1336" w:type="dxa"/>
            <w:tcBorders>
              <w:top w:val="single" w:sz="4" w:space="0" w:color="000000"/>
              <w:left w:val="single" w:sz="4" w:space="0" w:color="000000"/>
            </w:tcBorders>
            <w:shd w:val="clear" w:color="auto" w:fill="auto"/>
            <w:tcMar>
              <w:top w:w="0" w:type="dxa"/>
              <w:bottom w:w="0" w:type="dxa"/>
            </w:tcMar>
            <w:vAlign w:val="center"/>
          </w:tcPr>
          <w:p w14:paraId="696F85C4"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9.13</w:t>
            </w:r>
          </w:p>
        </w:tc>
        <w:tc>
          <w:tcPr>
            <w:tcW w:w="12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6BA95C"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103.87</w:t>
            </w:r>
          </w:p>
        </w:tc>
      </w:tr>
      <w:tr w:rsidR="002B056D" w14:paraId="4BE9C392" w14:textId="77777777">
        <w:tc>
          <w:tcPr>
            <w:tcW w:w="563" w:type="dxa"/>
            <w:tcBorders>
              <w:top w:val="single" w:sz="4" w:space="0" w:color="000000"/>
              <w:left w:val="single" w:sz="4" w:space="0" w:color="000000"/>
            </w:tcBorders>
            <w:shd w:val="clear" w:color="auto" w:fill="auto"/>
            <w:tcMar>
              <w:top w:w="0" w:type="dxa"/>
              <w:bottom w:w="0" w:type="dxa"/>
            </w:tcMar>
            <w:vAlign w:val="center"/>
          </w:tcPr>
          <w:p w14:paraId="795BF4CE"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3270" w:type="dxa"/>
            <w:tcBorders>
              <w:top w:val="single" w:sz="4" w:space="0" w:color="000000"/>
              <w:left w:val="single" w:sz="4" w:space="0" w:color="000000"/>
            </w:tcBorders>
            <w:shd w:val="clear" w:color="auto" w:fill="auto"/>
            <w:tcMar>
              <w:top w:w="0" w:type="dxa"/>
              <w:bottom w:w="0" w:type="dxa"/>
            </w:tcMar>
            <w:vAlign w:val="center"/>
          </w:tcPr>
          <w:p w14:paraId="57CB7A92" w14:textId="77777777" w:rsidR="002B056D" w:rsidRDefault="00390D89">
            <w:pPr>
              <w:pBdr>
                <w:top w:val="nil"/>
                <w:left w:val="nil"/>
                <w:bottom w:val="nil"/>
                <w:right w:val="nil"/>
                <w:between w:val="nil"/>
              </w:pBdr>
              <w:spacing w:after="120" w:line="360" w:lineRule="auto"/>
              <w:ind w:left="125"/>
              <w:rPr>
                <w:rFonts w:ascii="Arial" w:eastAsia="Arial" w:hAnsi="Arial" w:cs="Arial"/>
                <w:color w:val="010000"/>
                <w:sz w:val="20"/>
                <w:szCs w:val="20"/>
              </w:rPr>
            </w:pPr>
            <w:r>
              <w:rPr>
                <w:rFonts w:ascii="Arial" w:hAnsi="Arial"/>
                <w:color w:val="010000"/>
                <w:sz w:val="20"/>
              </w:rPr>
              <w:t>Average number of employees</w:t>
            </w:r>
          </w:p>
        </w:tc>
        <w:tc>
          <w:tcPr>
            <w:tcW w:w="1266" w:type="dxa"/>
            <w:tcBorders>
              <w:top w:val="single" w:sz="4" w:space="0" w:color="000000"/>
              <w:left w:val="single" w:sz="4" w:space="0" w:color="000000"/>
            </w:tcBorders>
            <w:shd w:val="clear" w:color="auto" w:fill="auto"/>
            <w:tcMar>
              <w:top w:w="0" w:type="dxa"/>
              <w:bottom w:w="0" w:type="dxa"/>
            </w:tcMar>
            <w:vAlign w:val="center"/>
          </w:tcPr>
          <w:p w14:paraId="342A1712"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1291" w:type="dxa"/>
            <w:tcBorders>
              <w:top w:val="single" w:sz="4" w:space="0" w:color="000000"/>
              <w:left w:val="single" w:sz="4" w:space="0" w:color="000000"/>
            </w:tcBorders>
            <w:shd w:val="clear" w:color="auto" w:fill="auto"/>
            <w:tcMar>
              <w:top w:w="0" w:type="dxa"/>
              <w:bottom w:w="0" w:type="dxa"/>
            </w:tcMar>
            <w:vAlign w:val="center"/>
          </w:tcPr>
          <w:p w14:paraId="4DC3D3D2"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559</w:t>
            </w:r>
          </w:p>
        </w:tc>
        <w:tc>
          <w:tcPr>
            <w:tcW w:w="1336" w:type="dxa"/>
            <w:tcBorders>
              <w:top w:val="single" w:sz="4" w:space="0" w:color="000000"/>
              <w:left w:val="single" w:sz="4" w:space="0" w:color="000000"/>
            </w:tcBorders>
            <w:shd w:val="clear" w:color="auto" w:fill="auto"/>
            <w:tcMar>
              <w:top w:w="0" w:type="dxa"/>
              <w:bottom w:w="0" w:type="dxa"/>
            </w:tcMar>
            <w:vAlign w:val="center"/>
          </w:tcPr>
          <w:p w14:paraId="6CA207A9"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561</w:t>
            </w:r>
          </w:p>
        </w:tc>
        <w:tc>
          <w:tcPr>
            <w:tcW w:w="129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0CDF93"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100.36</w:t>
            </w:r>
          </w:p>
        </w:tc>
      </w:tr>
      <w:tr w:rsidR="002B056D" w14:paraId="6622F00F" w14:textId="77777777">
        <w:tc>
          <w:tcPr>
            <w:tcW w:w="5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00A894"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32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502F39" w14:textId="77777777" w:rsidR="002B056D" w:rsidRDefault="00390D89">
            <w:pPr>
              <w:pBdr>
                <w:top w:val="nil"/>
                <w:left w:val="nil"/>
                <w:bottom w:val="nil"/>
                <w:right w:val="nil"/>
                <w:between w:val="nil"/>
              </w:pBdr>
              <w:spacing w:after="120" w:line="360" w:lineRule="auto"/>
              <w:ind w:left="125"/>
              <w:rPr>
                <w:rFonts w:ascii="Arial" w:eastAsia="Arial" w:hAnsi="Arial" w:cs="Arial"/>
                <w:color w:val="010000"/>
                <w:sz w:val="20"/>
                <w:szCs w:val="20"/>
              </w:rPr>
            </w:pPr>
            <w:r>
              <w:rPr>
                <w:rFonts w:ascii="Arial" w:hAnsi="Arial"/>
                <w:color w:val="010000"/>
                <w:sz w:val="20"/>
              </w:rPr>
              <w:t>Average income</w:t>
            </w:r>
          </w:p>
        </w:tc>
        <w:tc>
          <w:tcPr>
            <w:tcW w:w="12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308867"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VND/Person</w:t>
            </w:r>
          </w:p>
        </w:tc>
        <w:tc>
          <w:tcPr>
            <w:tcW w:w="12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EDCA6E"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11,801,580</w:t>
            </w:r>
          </w:p>
        </w:tc>
        <w:tc>
          <w:tcPr>
            <w:tcW w:w="13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7BD744"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12,257,028</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FE4ED3" w14:textId="77777777" w:rsidR="002B056D" w:rsidRDefault="00390D89">
            <w:pPr>
              <w:pBdr>
                <w:top w:val="nil"/>
                <w:left w:val="nil"/>
                <w:bottom w:val="nil"/>
                <w:right w:val="nil"/>
                <w:between w:val="nil"/>
              </w:pBdr>
              <w:spacing w:after="120" w:line="360" w:lineRule="auto"/>
              <w:ind w:right="153"/>
              <w:jc w:val="right"/>
              <w:rPr>
                <w:rFonts w:ascii="Arial" w:eastAsia="Arial" w:hAnsi="Arial" w:cs="Arial"/>
                <w:color w:val="010000"/>
                <w:sz w:val="20"/>
                <w:szCs w:val="20"/>
              </w:rPr>
            </w:pPr>
            <w:r>
              <w:rPr>
                <w:rFonts w:ascii="Arial" w:hAnsi="Arial"/>
                <w:color w:val="010000"/>
                <w:sz w:val="20"/>
              </w:rPr>
              <w:t>103.86</w:t>
            </w:r>
          </w:p>
        </w:tc>
      </w:tr>
    </w:tbl>
    <w:p w14:paraId="65604F95" w14:textId="77777777" w:rsidR="002B056D" w:rsidRDefault="00390D8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 Production and business plan for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4252"/>
        <w:gridCol w:w="1758"/>
        <w:gridCol w:w="2289"/>
      </w:tblGrid>
      <w:tr w:rsidR="002B056D" w14:paraId="3C0A3D51" w14:textId="77777777">
        <w:tc>
          <w:tcPr>
            <w:tcW w:w="718" w:type="dxa"/>
            <w:shd w:val="clear" w:color="auto" w:fill="auto"/>
            <w:tcMar>
              <w:top w:w="0" w:type="dxa"/>
              <w:bottom w:w="0" w:type="dxa"/>
            </w:tcMar>
            <w:vAlign w:val="center"/>
          </w:tcPr>
          <w:p w14:paraId="3AD9E2B1"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252" w:type="dxa"/>
            <w:shd w:val="clear" w:color="auto" w:fill="auto"/>
            <w:tcMar>
              <w:top w:w="0" w:type="dxa"/>
              <w:bottom w:w="0" w:type="dxa"/>
            </w:tcMar>
            <w:vAlign w:val="center"/>
          </w:tcPr>
          <w:p w14:paraId="53DA78CA"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758" w:type="dxa"/>
            <w:shd w:val="clear" w:color="auto" w:fill="auto"/>
            <w:tcMar>
              <w:top w:w="0" w:type="dxa"/>
              <w:bottom w:w="0" w:type="dxa"/>
            </w:tcMar>
            <w:vAlign w:val="center"/>
          </w:tcPr>
          <w:p w14:paraId="7F58CB13"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2289" w:type="dxa"/>
            <w:shd w:val="clear" w:color="auto" w:fill="auto"/>
            <w:tcMar>
              <w:top w:w="0" w:type="dxa"/>
              <w:bottom w:w="0" w:type="dxa"/>
            </w:tcMar>
            <w:vAlign w:val="center"/>
          </w:tcPr>
          <w:p w14:paraId="0C73951C"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2023</w:t>
            </w:r>
          </w:p>
          <w:p w14:paraId="492C1ABA"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2024</w:t>
            </w:r>
          </w:p>
        </w:tc>
      </w:tr>
      <w:tr w:rsidR="002B056D" w14:paraId="2C7DB7DA" w14:textId="77777777">
        <w:tc>
          <w:tcPr>
            <w:tcW w:w="718" w:type="dxa"/>
            <w:shd w:val="clear" w:color="auto" w:fill="auto"/>
            <w:tcMar>
              <w:top w:w="0" w:type="dxa"/>
              <w:bottom w:w="0" w:type="dxa"/>
            </w:tcMar>
            <w:vAlign w:val="center"/>
          </w:tcPr>
          <w:p w14:paraId="6FDF2DE8"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4252" w:type="dxa"/>
            <w:shd w:val="clear" w:color="auto" w:fill="auto"/>
            <w:tcMar>
              <w:top w:w="0" w:type="dxa"/>
              <w:bottom w:w="0" w:type="dxa"/>
            </w:tcMar>
            <w:vAlign w:val="center"/>
          </w:tcPr>
          <w:p w14:paraId="5FF1032F" w14:textId="77777777" w:rsidR="002B056D" w:rsidRDefault="00390D89">
            <w:pPr>
              <w:pBdr>
                <w:top w:val="nil"/>
                <w:left w:val="nil"/>
                <w:bottom w:val="nil"/>
                <w:right w:val="nil"/>
                <w:between w:val="nil"/>
              </w:pBdr>
              <w:spacing w:after="120" w:line="360" w:lineRule="auto"/>
              <w:ind w:left="116"/>
              <w:rPr>
                <w:rFonts w:ascii="Arial" w:eastAsia="Arial" w:hAnsi="Arial" w:cs="Arial"/>
                <w:color w:val="010000"/>
                <w:sz w:val="20"/>
                <w:szCs w:val="20"/>
              </w:rPr>
            </w:pPr>
            <w:r>
              <w:rPr>
                <w:rFonts w:ascii="Arial" w:hAnsi="Arial"/>
                <w:color w:val="010000"/>
                <w:sz w:val="20"/>
              </w:rPr>
              <w:t>Total accumulated revenue</w:t>
            </w:r>
          </w:p>
        </w:tc>
        <w:tc>
          <w:tcPr>
            <w:tcW w:w="1758" w:type="dxa"/>
            <w:shd w:val="clear" w:color="auto" w:fill="auto"/>
            <w:tcMar>
              <w:top w:w="0" w:type="dxa"/>
              <w:bottom w:w="0" w:type="dxa"/>
            </w:tcMar>
            <w:vAlign w:val="center"/>
          </w:tcPr>
          <w:p w14:paraId="3C13FD1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289" w:type="dxa"/>
            <w:shd w:val="clear" w:color="auto" w:fill="auto"/>
            <w:tcMar>
              <w:top w:w="0" w:type="dxa"/>
              <w:bottom w:w="0" w:type="dxa"/>
            </w:tcMar>
            <w:vAlign w:val="center"/>
          </w:tcPr>
          <w:p w14:paraId="65E20F9C"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440,571</w:t>
            </w:r>
          </w:p>
        </w:tc>
      </w:tr>
      <w:tr w:rsidR="002B056D" w14:paraId="00925D45" w14:textId="77777777">
        <w:tc>
          <w:tcPr>
            <w:tcW w:w="718" w:type="dxa"/>
            <w:shd w:val="clear" w:color="auto" w:fill="auto"/>
            <w:tcMar>
              <w:top w:w="0" w:type="dxa"/>
              <w:bottom w:w="0" w:type="dxa"/>
            </w:tcMar>
            <w:vAlign w:val="center"/>
          </w:tcPr>
          <w:p w14:paraId="6E02FA6A"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4252" w:type="dxa"/>
            <w:shd w:val="clear" w:color="auto" w:fill="auto"/>
            <w:tcMar>
              <w:top w:w="0" w:type="dxa"/>
              <w:bottom w:w="0" w:type="dxa"/>
            </w:tcMar>
            <w:vAlign w:val="center"/>
          </w:tcPr>
          <w:p w14:paraId="034D94A5" w14:textId="77777777" w:rsidR="002B056D" w:rsidRDefault="00390D89">
            <w:pPr>
              <w:pBdr>
                <w:top w:val="nil"/>
                <w:left w:val="nil"/>
                <w:bottom w:val="nil"/>
                <w:right w:val="nil"/>
                <w:between w:val="nil"/>
              </w:pBdr>
              <w:spacing w:after="120" w:line="360" w:lineRule="auto"/>
              <w:ind w:left="116"/>
              <w:rPr>
                <w:rFonts w:ascii="Arial" w:eastAsia="Arial" w:hAnsi="Arial" w:cs="Arial"/>
                <w:color w:val="010000"/>
                <w:sz w:val="20"/>
                <w:szCs w:val="20"/>
              </w:rPr>
            </w:pPr>
            <w:r>
              <w:rPr>
                <w:rFonts w:ascii="Arial" w:hAnsi="Arial"/>
                <w:color w:val="010000"/>
                <w:sz w:val="20"/>
              </w:rPr>
              <w:t>Profit before tax</w:t>
            </w:r>
          </w:p>
        </w:tc>
        <w:tc>
          <w:tcPr>
            <w:tcW w:w="1758" w:type="dxa"/>
            <w:shd w:val="clear" w:color="auto" w:fill="auto"/>
            <w:tcMar>
              <w:top w:w="0" w:type="dxa"/>
              <w:bottom w:w="0" w:type="dxa"/>
            </w:tcMar>
            <w:vAlign w:val="center"/>
          </w:tcPr>
          <w:p w14:paraId="524C3337"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289" w:type="dxa"/>
            <w:shd w:val="clear" w:color="auto" w:fill="auto"/>
            <w:tcMar>
              <w:top w:w="0" w:type="dxa"/>
              <w:bottom w:w="0" w:type="dxa"/>
            </w:tcMar>
            <w:vAlign w:val="center"/>
          </w:tcPr>
          <w:p w14:paraId="5055A471"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35,774</w:t>
            </w:r>
          </w:p>
        </w:tc>
      </w:tr>
      <w:tr w:rsidR="002B056D" w14:paraId="7144A0C4" w14:textId="77777777">
        <w:tc>
          <w:tcPr>
            <w:tcW w:w="718" w:type="dxa"/>
            <w:shd w:val="clear" w:color="auto" w:fill="auto"/>
            <w:tcMar>
              <w:top w:w="0" w:type="dxa"/>
              <w:bottom w:w="0" w:type="dxa"/>
            </w:tcMar>
            <w:vAlign w:val="center"/>
          </w:tcPr>
          <w:p w14:paraId="0A10C7D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4252" w:type="dxa"/>
            <w:shd w:val="clear" w:color="auto" w:fill="auto"/>
            <w:tcMar>
              <w:top w:w="0" w:type="dxa"/>
              <w:bottom w:w="0" w:type="dxa"/>
            </w:tcMar>
            <w:vAlign w:val="center"/>
          </w:tcPr>
          <w:p w14:paraId="40CFE158" w14:textId="77777777" w:rsidR="002B056D" w:rsidRDefault="00390D89">
            <w:pPr>
              <w:pBdr>
                <w:top w:val="nil"/>
                <w:left w:val="nil"/>
                <w:bottom w:val="nil"/>
                <w:right w:val="nil"/>
                <w:between w:val="nil"/>
              </w:pBdr>
              <w:spacing w:after="120" w:line="360" w:lineRule="auto"/>
              <w:ind w:left="116"/>
              <w:rPr>
                <w:rFonts w:ascii="Arial" w:eastAsia="Arial" w:hAnsi="Arial" w:cs="Arial"/>
                <w:color w:val="010000"/>
                <w:sz w:val="20"/>
                <w:szCs w:val="20"/>
              </w:rPr>
            </w:pPr>
            <w:r>
              <w:rPr>
                <w:rFonts w:ascii="Arial" w:hAnsi="Arial"/>
                <w:color w:val="010000"/>
                <w:sz w:val="20"/>
              </w:rPr>
              <w:t>Profit after tax</w:t>
            </w:r>
          </w:p>
        </w:tc>
        <w:tc>
          <w:tcPr>
            <w:tcW w:w="1758" w:type="dxa"/>
            <w:shd w:val="clear" w:color="auto" w:fill="auto"/>
            <w:tcMar>
              <w:top w:w="0" w:type="dxa"/>
              <w:bottom w:w="0" w:type="dxa"/>
            </w:tcMar>
            <w:vAlign w:val="center"/>
          </w:tcPr>
          <w:p w14:paraId="0204C893"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289" w:type="dxa"/>
            <w:shd w:val="clear" w:color="auto" w:fill="auto"/>
            <w:tcMar>
              <w:top w:w="0" w:type="dxa"/>
              <w:bottom w:w="0" w:type="dxa"/>
            </w:tcMar>
            <w:vAlign w:val="center"/>
          </w:tcPr>
          <w:p w14:paraId="0C8F51DF"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28,219</w:t>
            </w:r>
          </w:p>
        </w:tc>
      </w:tr>
      <w:tr w:rsidR="002B056D" w14:paraId="000D648A" w14:textId="77777777">
        <w:tc>
          <w:tcPr>
            <w:tcW w:w="718" w:type="dxa"/>
            <w:shd w:val="clear" w:color="auto" w:fill="auto"/>
            <w:tcMar>
              <w:top w:w="0" w:type="dxa"/>
              <w:bottom w:w="0" w:type="dxa"/>
            </w:tcMar>
            <w:vAlign w:val="center"/>
          </w:tcPr>
          <w:p w14:paraId="70D87E58"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4252" w:type="dxa"/>
            <w:shd w:val="clear" w:color="auto" w:fill="auto"/>
            <w:tcMar>
              <w:top w:w="0" w:type="dxa"/>
              <w:bottom w:w="0" w:type="dxa"/>
            </w:tcMar>
            <w:vAlign w:val="center"/>
          </w:tcPr>
          <w:p w14:paraId="3C73F054" w14:textId="77777777" w:rsidR="002B056D" w:rsidRDefault="00390D89">
            <w:pPr>
              <w:pBdr>
                <w:top w:val="nil"/>
                <w:left w:val="nil"/>
                <w:bottom w:val="nil"/>
                <w:right w:val="nil"/>
                <w:between w:val="nil"/>
              </w:pBdr>
              <w:spacing w:after="120" w:line="360" w:lineRule="auto"/>
              <w:ind w:left="116"/>
              <w:rPr>
                <w:rFonts w:ascii="Arial" w:eastAsia="Arial" w:hAnsi="Arial" w:cs="Arial"/>
                <w:color w:val="010000"/>
                <w:sz w:val="20"/>
                <w:szCs w:val="20"/>
              </w:rPr>
            </w:pPr>
            <w:r>
              <w:rPr>
                <w:rFonts w:ascii="Arial" w:hAnsi="Arial"/>
                <w:color w:val="010000"/>
                <w:sz w:val="20"/>
              </w:rPr>
              <w:t>Budget contribution (excluding personal income tax)</w:t>
            </w:r>
          </w:p>
        </w:tc>
        <w:tc>
          <w:tcPr>
            <w:tcW w:w="1758" w:type="dxa"/>
            <w:shd w:val="clear" w:color="auto" w:fill="auto"/>
            <w:tcMar>
              <w:top w:w="0" w:type="dxa"/>
              <w:bottom w:w="0" w:type="dxa"/>
            </w:tcMar>
            <w:vAlign w:val="center"/>
          </w:tcPr>
          <w:p w14:paraId="46D791D2"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289" w:type="dxa"/>
            <w:shd w:val="clear" w:color="auto" w:fill="auto"/>
            <w:tcMar>
              <w:top w:w="0" w:type="dxa"/>
              <w:bottom w:w="0" w:type="dxa"/>
            </w:tcMar>
            <w:vAlign w:val="center"/>
          </w:tcPr>
          <w:p w14:paraId="5701EDD2"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22,157</w:t>
            </w:r>
          </w:p>
        </w:tc>
      </w:tr>
      <w:tr w:rsidR="002B056D" w14:paraId="78D066A1" w14:textId="77777777">
        <w:tc>
          <w:tcPr>
            <w:tcW w:w="718" w:type="dxa"/>
            <w:shd w:val="clear" w:color="auto" w:fill="auto"/>
            <w:tcMar>
              <w:top w:w="0" w:type="dxa"/>
              <w:bottom w:w="0" w:type="dxa"/>
            </w:tcMar>
            <w:vAlign w:val="center"/>
          </w:tcPr>
          <w:p w14:paraId="1CD6AE0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4252" w:type="dxa"/>
            <w:shd w:val="clear" w:color="auto" w:fill="auto"/>
            <w:tcMar>
              <w:top w:w="0" w:type="dxa"/>
              <w:bottom w:w="0" w:type="dxa"/>
            </w:tcMar>
            <w:vAlign w:val="center"/>
          </w:tcPr>
          <w:p w14:paraId="72DFA067" w14:textId="77777777" w:rsidR="002B056D" w:rsidRDefault="00390D89">
            <w:pPr>
              <w:pBdr>
                <w:top w:val="nil"/>
                <w:left w:val="nil"/>
                <w:bottom w:val="nil"/>
                <w:right w:val="nil"/>
                <w:between w:val="nil"/>
              </w:pBdr>
              <w:spacing w:after="120" w:line="360" w:lineRule="auto"/>
              <w:ind w:left="116"/>
              <w:rPr>
                <w:rFonts w:ascii="Arial" w:eastAsia="Arial" w:hAnsi="Arial" w:cs="Arial"/>
                <w:color w:val="010000"/>
                <w:sz w:val="20"/>
                <w:szCs w:val="20"/>
              </w:rPr>
            </w:pPr>
            <w:r>
              <w:rPr>
                <w:rFonts w:ascii="Arial" w:hAnsi="Arial"/>
                <w:color w:val="010000"/>
                <w:sz w:val="20"/>
              </w:rPr>
              <w:t>Return on average equity</w:t>
            </w:r>
          </w:p>
        </w:tc>
        <w:tc>
          <w:tcPr>
            <w:tcW w:w="1758" w:type="dxa"/>
            <w:shd w:val="clear" w:color="auto" w:fill="auto"/>
            <w:tcMar>
              <w:top w:w="0" w:type="dxa"/>
              <w:bottom w:w="0" w:type="dxa"/>
            </w:tcMar>
            <w:vAlign w:val="center"/>
          </w:tcPr>
          <w:p w14:paraId="0819970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2289" w:type="dxa"/>
            <w:shd w:val="clear" w:color="auto" w:fill="auto"/>
            <w:tcMar>
              <w:top w:w="0" w:type="dxa"/>
              <w:bottom w:w="0" w:type="dxa"/>
            </w:tcMar>
            <w:vAlign w:val="center"/>
          </w:tcPr>
          <w:p w14:paraId="58C42BC7"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8.7</w:t>
            </w:r>
          </w:p>
        </w:tc>
      </w:tr>
      <w:tr w:rsidR="002B056D" w14:paraId="1CA7203E" w14:textId="77777777">
        <w:tc>
          <w:tcPr>
            <w:tcW w:w="718" w:type="dxa"/>
            <w:shd w:val="clear" w:color="auto" w:fill="auto"/>
            <w:tcMar>
              <w:top w:w="0" w:type="dxa"/>
              <w:bottom w:w="0" w:type="dxa"/>
            </w:tcMar>
            <w:vAlign w:val="center"/>
          </w:tcPr>
          <w:p w14:paraId="6DFE198F"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4252" w:type="dxa"/>
            <w:shd w:val="clear" w:color="auto" w:fill="auto"/>
            <w:tcMar>
              <w:top w:w="0" w:type="dxa"/>
              <w:bottom w:w="0" w:type="dxa"/>
            </w:tcMar>
            <w:vAlign w:val="center"/>
          </w:tcPr>
          <w:p w14:paraId="48277284" w14:textId="77777777" w:rsidR="002B056D" w:rsidRDefault="00390D89">
            <w:pPr>
              <w:pBdr>
                <w:top w:val="nil"/>
                <w:left w:val="nil"/>
                <w:bottom w:val="nil"/>
                <w:right w:val="nil"/>
                <w:between w:val="nil"/>
              </w:pBdr>
              <w:spacing w:after="120" w:line="360" w:lineRule="auto"/>
              <w:ind w:left="116"/>
              <w:rPr>
                <w:rFonts w:ascii="Arial" w:eastAsia="Arial" w:hAnsi="Arial" w:cs="Arial"/>
                <w:color w:val="010000"/>
                <w:sz w:val="20"/>
                <w:szCs w:val="20"/>
              </w:rPr>
            </w:pPr>
            <w:r>
              <w:rPr>
                <w:rFonts w:ascii="Arial" w:hAnsi="Arial"/>
                <w:color w:val="010000"/>
                <w:sz w:val="20"/>
              </w:rPr>
              <w:t>Average number of employees</w:t>
            </w:r>
          </w:p>
        </w:tc>
        <w:tc>
          <w:tcPr>
            <w:tcW w:w="1758" w:type="dxa"/>
            <w:shd w:val="clear" w:color="auto" w:fill="auto"/>
            <w:tcMar>
              <w:top w:w="0" w:type="dxa"/>
              <w:bottom w:w="0" w:type="dxa"/>
            </w:tcMar>
            <w:vAlign w:val="center"/>
          </w:tcPr>
          <w:p w14:paraId="2C611DA0"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2289" w:type="dxa"/>
            <w:shd w:val="clear" w:color="auto" w:fill="auto"/>
            <w:tcMar>
              <w:top w:w="0" w:type="dxa"/>
              <w:bottom w:w="0" w:type="dxa"/>
            </w:tcMar>
            <w:vAlign w:val="center"/>
          </w:tcPr>
          <w:p w14:paraId="24BA5DA4"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577</w:t>
            </w:r>
          </w:p>
        </w:tc>
      </w:tr>
      <w:tr w:rsidR="002B056D" w14:paraId="219C8DC2" w14:textId="77777777">
        <w:tc>
          <w:tcPr>
            <w:tcW w:w="718" w:type="dxa"/>
            <w:shd w:val="clear" w:color="auto" w:fill="auto"/>
            <w:tcMar>
              <w:top w:w="0" w:type="dxa"/>
              <w:bottom w:w="0" w:type="dxa"/>
            </w:tcMar>
            <w:vAlign w:val="center"/>
          </w:tcPr>
          <w:p w14:paraId="528C9ED3"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4252" w:type="dxa"/>
            <w:shd w:val="clear" w:color="auto" w:fill="auto"/>
            <w:tcMar>
              <w:top w:w="0" w:type="dxa"/>
              <w:bottom w:w="0" w:type="dxa"/>
            </w:tcMar>
            <w:vAlign w:val="center"/>
          </w:tcPr>
          <w:p w14:paraId="77B5D63F" w14:textId="77777777" w:rsidR="002B056D" w:rsidRDefault="00390D89">
            <w:pPr>
              <w:pBdr>
                <w:top w:val="nil"/>
                <w:left w:val="nil"/>
                <w:bottom w:val="nil"/>
                <w:right w:val="nil"/>
                <w:between w:val="nil"/>
              </w:pBdr>
              <w:spacing w:after="120" w:line="360" w:lineRule="auto"/>
              <w:ind w:left="116"/>
              <w:rPr>
                <w:rFonts w:ascii="Arial" w:eastAsia="Arial" w:hAnsi="Arial" w:cs="Arial"/>
                <w:color w:val="010000"/>
                <w:sz w:val="20"/>
                <w:szCs w:val="20"/>
              </w:rPr>
            </w:pPr>
            <w:r>
              <w:rPr>
                <w:rFonts w:ascii="Arial" w:hAnsi="Arial"/>
                <w:color w:val="010000"/>
                <w:sz w:val="20"/>
              </w:rPr>
              <w:t>Average income</w:t>
            </w:r>
          </w:p>
        </w:tc>
        <w:tc>
          <w:tcPr>
            <w:tcW w:w="1758" w:type="dxa"/>
            <w:shd w:val="clear" w:color="auto" w:fill="auto"/>
            <w:tcMar>
              <w:top w:w="0" w:type="dxa"/>
              <w:bottom w:w="0" w:type="dxa"/>
            </w:tcMar>
            <w:vAlign w:val="center"/>
          </w:tcPr>
          <w:p w14:paraId="15E927A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VND/Person</w:t>
            </w:r>
          </w:p>
        </w:tc>
        <w:tc>
          <w:tcPr>
            <w:tcW w:w="2289" w:type="dxa"/>
            <w:shd w:val="clear" w:color="auto" w:fill="auto"/>
            <w:tcMar>
              <w:top w:w="0" w:type="dxa"/>
              <w:bottom w:w="0" w:type="dxa"/>
            </w:tcMar>
            <w:vAlign w:val="center"/>
          </w:tcPr>
          <w:p w14:paraId="2CA3C3D5"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11,665,222</w:t>
            </w:r>
          </w:p>
        </w:tc>
      </w:tr>
    </w:tbl>
    <w:p w14:paraId="0DF71AFB" w14:textId="77777777" w:rsidR="002B056D" w:rsidRDefault="00390D89" w:rsidP="006664D9">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Report on the activities of the Board of Directors in 2023, and Operational plan for </w:t>
      </w:r>
      <w:r>
        <w:rPr>
          <w:rFonts w:ascii="Arial" w:hAnsi="Arial"/>
          <w:color w:val="010000"/>
          <w:sz w:val="20"/>
        </w:rPr>
        <w:lastRenderedPageBreak/>
        <w:t>2024.</w:t>
      </w:r>
    </w:p>
    <w:p w14:paraId="5BD2B7F1" w14:textId="77777777" w:rsidR="002B056D" w:rsidRDefault="00390D89" w:rsidP="006664D9">
      <w:pPr>
        <w:numPr>
          <w:ilvl w:val="0"/>
          <w:numId w:val="2"/>
        </w:numPr>
        <w:pBdr>
          <w:top w:val="nil"/>
          <w:left w:val="nil"/>
          <w:bottom w:val="nil"/>
          <w:right w:val="nil"/>
          <w:between w:val="nil"/>
        </w:pBdr>
        <w:tabs>
          <w:tab w:val="left" w:pos="426"/>
          <w:tab w:val="left" w:pos="1784"/>
        </w:tabs>
        <w:spacing w:after="120" w:line="360" w:lineRule="auto"/>
        <w:jc w:val="both"/>
        <w:rPr>
          <w:rFonts w:ascii="Arial" w:eastAsia="Arial" w:hAnsi="Arial" w:cs="Arial"/>
          <w:color w:val="010000"/>
          <w:sz w:val="20"/>
          <w:szCs w:val="20"/>
        </w:rPr>
      </w:pPr>
      <w:r>
        <w:rPr>
          <w:rFonts w:ascii="Arial" w:hAnsi="Arial"/>
          <w:color w:val="010000"/>
          <w:sz w:val="20"/>
        </w:rPr>
        <w:t>Approve the Audited Financial Statements 2023.</w:t>
      </w:r>
    </w:p>
    <w:p w14:paraId="3DE7918F" w14:textId="77777777" w:rsidR="002B056D" w:rsidRDefault="00390D89" w:rsidP="006664D9">
      <w:pPr>
        <w:numPr>
          <w:ilvl w:val="0"/>
          <w:numId w:val="2"/>
        </w:numPr>
        <w:pBdr>
          <w:top w:val="nil"/>
          <w:left w:val="nil"/>
          <w:bottom w:val="nil"/>
          <w:right w:val="nil"/>
          <w:between w:val="nil"/>
        </w:pBdr>
        <w:tabs>
          <w:tab w:val="left" w:pos="426"/>
          <w:tab w:val="left" w:pos="1784"/>
        </w:tabs>
        <w:spacing w:after="120" w:line="360" w:lineRule="auto"/>
        <w:jc w:val="both"/>
        <w:rPr>
          <w:rFonts w:ascii="Arial" w:eastAsia="Arial" w:hAnsi="Arial" w:cs="Arial"/>
          <w:color w:val="010000"/>
          <w:sz w:val="20"/>
          <w:szCs w:val="20"/>
        </w:rPr>
      </w:pPr>
      <w:r>
        <w:rPr>
          <w:rFonts w:ascii="Arial" w:hAnsi="Arial"/>
          <w:color w:val="010000"/>
          <w:sz w:val="20"/>
        </w:rPr>
        <w:t>Approve the Profit distribution plan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4106"/>
        <w:gridCol w:w="674"/>
        <w:gridCol w:w="1746"/>
        <w:gridCol w:w="1841"/>
      </w:tblGrid>
      <w:tr w:rsidR="002B056D" w14:paraId="53842E02" w14:textId="77777777">
        <w:tc>
          <w:tcPr>
            <w:tcW w:w="650" w:type="dxa"/>
            <w:shd w:val="clear" w:color="auto" w:fill="auto"/>
            <w:tcMar>
              <w:top w:w="0" w:type="dxa"/>
              <w:bottom w:w="0" w:type="dxa"/>
            </w:tcMar>
            <w:vAlign w:val="center"/>
          </w:tcPr>
          <w:p w14:paraId="77C80233"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106" w:type="dxa"/>
            <w:shd w:val="clear" w:color="auto" w:fill="auto"/>
            <w:tcMar>
              <w:top w:w="0" w:type="dxa"/>
              <w:bottom w:w="0" w:type="dxa"/>
            </w:tcMar>
            <w:vAlign w:val="center"/>
          </w:tcPr>
          <w:p w14:paraId="4F0943E8"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674" w:type="dxa"/>
            <w:shd w:val="clear" w:color="auto" w:fill="auto"/>
            <w:tcMar>
              <w:top w:w="0" w:type="dxa"/>
              <w:bottom w:w="0" w:type="dxa"/>
            </w:tcMar>
            <w:vAlign w:val="center"/>
          </w:tcPr>
          <w:p w14:paraId="317EEBF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746" w:type="dxa"/>
            <w:shd w:val="clear" w:color="auto" w:fill="auto"/>
            <w:tcMar>
              <w:top w:w="0" w:type="dxa"/>
              <w:bottom w:w="0" w:type="dxa"/>
            </w:tcMar>
            <w:vAlign w:val="center"/>
          </w:tcPr>
          <w:p w14:paraId="6D2FC7B5"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in</w:t>
            </w:r>
          </w:p>
          <w:p w14:paraId="5D0D6E8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841" w:type="dxa"/>
            <w:shd w:val="clear" w:color="auto" w:fill="auto"/>
            <w:tcMar>
              <w:top w:w="0" w:type="dxa"/>
              <w:bottom w:w="0" w:type="dxa"/>
            </w:tcMar>
            <w:vAlign w:val="center"/>
          </w:tcPr>
          <w:p w14:paraId="6757048A"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 in</w:t>
            </w:r>
          </w:p>
          <w:p w14:paraId="105622D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2023</w:t>
            </w:r>
          </w:p>
        </w:tc>
      </w:tr>
      <w:tr w:rsidR="002B056D" w14:paraId="440742EC" w14:textId="77777777">
        <w:tc>
          <w:tcPr>
            <w:tcW w:w="650" w:type="dxa"/>
            <w:shd w:val="clear" w:color="auto" w:fill="auto"/>
            <w:tcMar>
              <w:top w:w="0" w:type="dxa"/>
              <w:bottom w:w="0" w:type="dxa"/>
            </w:tcMar>
            <w:vAlign w:val="center"/>
          </w:tcPr>
          <w:p w14:paraId="10E5E5A3"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4106" w:type="dxa"/>
            <w:shd w:val="clear" w:color="auto" w:fill="auto"/>
            <w:tcMar>
              <w:top w:w="0" w:type="dxa"/>
              <w:bottom w:w="0" w:type="dxa"/>
            </w:tcMar>
            <w:vAlign w:val="center"/>
          </w:tcPr>
          <w:p w14:paraId="5EA748B3"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Profit after corporate income tax</w:t>
            </w:r>
          </w:p>
        </w:tc>
        <w:tc>
          <w:tcPr>
            <w:tcW w:w="674" w:type="dxa"/>
            <w:shd w:val="clear" w:color="auto" w:fill="auto"/>
            <w:tcMar>
              <w:top w:w="0" w:type="dxa"/>
              <w:bottom w:w="0" w:type="dxa"/>
            </w:tcMar>
            <w:vAlign w:val="center"/>
          </w:tcPr>
          <w:p w14:paraId="529CD47E"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6590BAF7"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28,266,000,000</w:t>
            </w:r>
          </w:p>
        </w:tc>
        <w:tc>
          <w:tcPr>
            <w:tcW w:w="1841" w:type="dxa"/>
            <w:shd w:val="clear" w:color="auto" w:fill="auto"/>
            <w:tcMar>
              <w:top w:w="0" w:type="dxa"/>
              <w:bottom w:w="0" w:type="dxa"/>
            </w:tcMar>
            <w:vAlign w:val="center"/>
          </w:tcPr>
          <w:p w14:paraId="7C6183B9"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29,354,721,752</w:t>
            </w:r>
          </w:p>
        </w:tc>
      </w:tr>
      <w:tr w:rsidR="002B056D" w14:paraId="723B599A" w14:textId="77777777">
        <w:tc>
          <w:tcPr>
            <w:tcW w:w="650" w:type="dxa"/>
            <w:shd w:val="clear" w:color="auto" w:fill="auto"/>
            <w:tcMar>
              <w:top w:w="0" w:type="dxa"/>
              <w:bottom w:w="0" w:type="dxa"/>
            </w:tcMar>
            <w:vAlign w:val="center"/>
          </w:tcPr>
          <w:p w14:paraId="659F352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4106" w:type="dxa"/>
            <w:shd w:val="clear" w:color="auto" w:fill="auto"/>
            <w:tcMar>
              <w:top w:w="0" w:type="dxa"/>
              <w:bottom w:w="0" w:type="dxa"/>
            </w:tcMar>
            <w:vAlign w:val="center"/>
          </w:tcPr>
          <w:p w14:paraId="27C79FDE"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Appropriation for funds</w:t>
            </w:r>
          </w:p>
        </w:tc>
        <w:tc>
          <w:tcPr>
            <w:tcW w:w="674" w:type="dxa"/>
            <w:shd w:val="clear" w:color="auto" w:fill="auto"/>
            <w:tcMar>
              <w:top w:w="0" w:type="dxa"/>
              <w:bottom w:w="0" w:type="dxa"/>
            </w:tcMar>
            <w:vAlign w:val="center"/>
          </w:tcPr>
          <w:p w14:paraId="304CDB0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0F7C1535"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7,053,840,000</w:t>
            </w:r>
          </w:p>
        </w:tc>
        <w:tc>
          <w:tcPr>
            <w:tcW w:w="1841" w:type="dxa"/>
            <w:shd w:val="clear" w:color="auto" w:fill="auto"/>
            <w:tcMar>
              <w:top w:w="0" w:type="dxa"/>
              <w:bottom w:w="0" w:type="dxa"/>
            </w:tcMar>
            <w:vAlign w:val="center"/>
          </w:tcPr>
          <w:p w14:paraId="26464E6C"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7,282,733,220</w:t>
            </w:r>
          </w:p>
        </w:tc>
      </w:tr>
      <w:tr w:rsidR="002B056D" w14:paraId="0773CD33" w14:textId="77777777">
        <w:tc>
          <w:tcPr>
            <w:tcW w:w="650" w:type="dxa"/>
            <w:shd w:val="clear" w:color="auto" w:fill="auto"/>
            <w:tcMar>
              <w:top w:w="0" w:type="dxa"/>
              <w:bottom w:w="0" w:type="dxa"/>
            </w:tcMar>
            <w:vAlign w:val="center"/>
          </w:tcPr>
          <w:p w14:paraId="69E95703"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2.1</w:t>
            </w:r>
          </w:p>
        </w:tc>
        <w:tc>
          <w:tcPr>
            <w:tcW w:w="4106" w:type="dxa"/>
            <w:shd w:val="clear" w:color="auto" w:fill="auto"/>
            <w:tcMar>
              <w:top w:w="0" w:type="dxa"/>
              <w:bottom w:w="0" w:type="dxa"/>
            </w:tcMar>
            <w:vAlign w:val="center"/>
          </w:tcPr>
          <w:p w14:paraId="37BC07D9"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Development investment fund (10% of profit after tax)</w:t>
            </w:r>
          </w:p>
        </w:tc>
        <w:tc>
          <w:tcPr>
            <w:tcW w:w="674" w:type="dxa"/>
            <w:shd w:val="clear" w:color="auto" w:fill="auto"/>
            <w:tcMar>
              <w:top w:w="0" w:type="dxa"/>
              <w:bottom w:w="0" w:type="dxa"/>
            </w:tcMar>
            <w:vAlign w:val="center"/>
          </w:tcPr>
          <w:p w14:paraId="4385F00A"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0456922B"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2,826,600,000</w:t>
            </w:r>
          </w:p>
        </w:tc>
        <w:tc>
          <w:tcPr>
            <w:tcW w:w="1841" w:type="dxa"/>
            <w:shd w:val="clear" w:color="auto" w:fill="auto"/>
            <w:tcMar>
              <w:top w:w="0" w:type="dxa"/>
              <w:bottom w:w="0" w:type="dxa"/>
            </w:tcMar>
            <w:vAlign w:val="center"/>
          </w:tcPr>
          <w:p w14:paraId="083229A1"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2,935,472,175</w:t>
            </w:r>
          </w:p>
        </w:tc>
      </w:tr>
      <w:tr w:rsidR="002B056D" w14:paraId="10B3BB58" w14:textId="77777777">
        <w:tc>
          <w:tcPr>
            <w:tcW w:w="650" w:type="dxa"/>
            <w:shd w:val="clear" w:color="auto" w:fill="auto"/>
            <w:tcMar>
              <w:top w:w="0" w:type="dxa"/>
              <w:bottom w:w="0" w:type="dxa"/>
            </w:tcMar>
            <w:vAlign w:val="center"/>
          </w:tcPr>
          <w:p w14:paraId="0093CA7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2.2</w:t>
            </w:r>
          </w:p>
        </w:tc>
        <w:tc>
          <w:tcPr>
            <w:tcW w:w="4106" w:type="dxa"/>
            <w:shd w:val="clear" w:color="auto" w:fill="auto"/>
            <w:tcMar>
              <w:top w:w="0" w:type="dxa"/>
              <w:bottom w:w="0" w:type="dxa"/>
            </w:tcMar>
            <w:vAlign w:val="center"/>
          </w:tcPr>
          <w:p w14:paraId="40CBD049"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Bonus and welfare fund (10% Profit after tax)</w:t>
            </w:r>
          </w:p>
        </w:tc>
        <w:tc>
          <w:tcPr>
            <w:tcW w:w="674" w:type="dxa"/>
            <w:shd w:val="clear" w:color="auto" w:fill="auto"/>
            <w:tcMar>
              <w:top w:w="0" w:type="dxa"/>
              <w:bottom w:w="0" w:type="dxa"/>
            </w:tcMar>
            <w:vAlign w:val="center"/>
          </w:tcPr>
          <w:p w14:paraId="6602672C"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053CE272"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2,826,600,000</w:t>
            </w:r>
          </w:p>
        </w:tc>
        <w:tc>
          <w:tcPr>
            <w:tcW w:w="1841" w:type="dxa"/>
            <w:shd w:val="clear" w:color="auto" w:fill="auto"/>
            <w:tcMar>
              <w:top w:w="0" w:type="dxa"/>
              <w:bottom w:w="0" w:type="dxa"/>
            </w:tcMar>
            <w:vAlign w:val="center"/>
          </w:tcPr>
          <w:p w14:paraId="0BC7F2A1"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2,935,472,175</w:t>
            </w:r>
          </w:p>
        </w:tc>
      </w:tr>
      <w:tr w:rsidR="002B056D" w14:paraId="0935FFF7" w14:textId="77777777">
        <w:tc>
          <w:tcPr>
            <w:tcW w:w="650" w:type="dxa"/>
            <w:shd w:val="clear" w:color="auto" w:fill="auto"/>
            <w:tcMar>
              <w:top w:w="0" w:type="dxa"/>
              <w:bottom w:w="0" w:type="dxa"/>
            </w:tcMar>
            <w:vAlign w:val="center"/>
          </w:tcPr>
          <w:p w14:paraId="5A26E2E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2.3</w:t>
            </w:r>
          </w:p>
        </w:tc>
        <w:tc>
          <w:tcPr>
            <w:tcW w:w="4106" w:type="dxa"/>
            <w:shd w:val="clear" w:color="auto" w:fill="auto"/>
            <w:tcMar>
              <w:top w:w="0" w:type="dxa"/>
              <w:bottom w:w="0" w:type="dxa"/>
            </w:tcMar>
            <w:vAlign w:val="center"/>
          </w:tcPr>
          <w:p w14:paraId="20DC94A3"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Maximum bonus fund for the Company's managers (According to Circular 28/2016/TT-BLDTBXH)</w:t>
            </w:r>
          </w:p>
        </w:tc>
        <w:tc>
          <w:tcPr>
            <w:tcW w:w="674" w:type="dxa"/>
            <w:shd w:val="clear" w:color="auto" w:fill="auto"/>
            <w:tcMar>
              <w:top w:w="0" w:type="dxa"/>
              <w:bottom w:w="0" w:type="dxa"/>
            </w:tcMar>
            <w:vAlign w:val="center"/>
          </w:tcPr>
          <w:p w14:paraId="493EF254"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0EE35470"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270,000,000</w:t>
            </w:r>
          </w:p>
        </w:tc>
        <w:tc>
          <w:tcPr>
            <w:tcW w:w="1841" w:type="dxa"/>
            <w:shd w:val="clear" w:color="auto" w:fill="auto"/>
            <w:tcMar>
              <w:top w:w="0" w:type="dxa"/>
              <w:bottom w:w="0" w:type="dxa"/>
            </w:tcMar>
            <w:vAlign w:val="center"/>
          </w:tcPr>
          <w:p w14:paraId="422B10F3"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237,600,000</w:t>
            </w:r>
          </w:p>
        </w:tc>
      </w:tr>
      <w:tr w:rsidR="002B056D" w14:paraId="093B75A1" w14:textId="77777777">
        <w:tc>
          <w:tcPr>
            <w:tcW w:w="650" w:type="dxa"/>
            <w:shd w:val="clear" w:color="auto" w:fill="auto"/>
            <w:tcMar>
              <w:top w:w="0" w:type="dxa"/>
              <w:bottom w:w="0" w:type="dxa"/>
            </w:tcMar>
            <w:vAlign w:val="center"/>
          </w:tcPr>
          <w:p w14:paraId="77A9575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2.4</w:t>
            </w:r>
          </w:p>
        </w:tc>
        <w:tc>
          <w:tcPr>
            <w:tcW w:w="4106" w:type="dxa"/>
            <w:shd w:val="clear" w:color="auto" w:fill="auto"/>
            <w:tcMar>
              <w:top w:w="0" w:type="dxa"/>
              <w:bottom w:w="0" w:type="dxa"/>
            </w:tcMar>
            <w:vAlign w:val="center"/>
          </w:tcPr>
          <w:p w14:paraId="368939D7"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Bonus fund for related parties (2% of profit after tax)</w:t>
            </w:r>
          </w:p>
        </w:tc>
        <w:tc>
          <w:tcPr>
            <w:tcW w:w="674" w:type="dxa"/>
            <w:shd w:val="clear" w:color="auto" w:fill="auto"/>
            <w:tcMar>
              <w:top w:w="0" w:type="dxa"/>
              <w:bottom w:w="0" w:type="dxa"/>
            </w:tcMar>
            <w:vAlign w:val="center"/>
          </w:tcPr>
          <w:p w14:paraId="497CC9A4"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53507EEE"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565,320,000</w:t>
            </w:r>
          </w:p>
        </w:tc>
        <w:tc>
          <w:tcPr>
            <w:tcW w:w="1841" w:type="dxa"/>
            <w:shd w:val="clear" w:color="auto" w:fill="auto"/>
            <w:tcMar>
              <w:top w:w="0" w:type="dxa"/>
              <w:bottom w:w="0" w:type="dxa"/>
            </w:tcMar>
            <w:vAlign w:val="center"/>
          </w:tcPr>
          <w:p w14:paraId="52224EF2"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587,094,435</w:t>
            </w:r>
          </w:p>
        </w:tc>
      </w:tr>
      <w:tr w:rsidR="002B056D" w14:paraId="54F9E9F4" w14:textId="77777777">
        <w:tc>
          <w:tcPr>
            <w:tcW w:w="650" w:type="dxa"/>
            <w:shd w:val="clear" w:color="auto" w:fill="auto"/>
            <w:tcMar>
              <w:top w:w="0" w:type="dxa"/>
              <w:bottom w:w="0" w:type="dxa"/>
            </w:tcMar>
            <w:vAlign w:val="center"/>
          </w:tcPr>
          <w:p w14:paraId="491C618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2.5</w:t>
            </w:r>
          </w:p>
        </w:tc>
        <w:tc>
          <w:tcPr>
            <w:tcW w:w="4106" w:type="dxa"/>
            <w:shd w:val="clear" w:color="auto" w:fill="auto"/>
            <w:tcMar>
              <w:top w:w="0" w:type="dxa"/>
              <w:bottom w:w="0" w:type="dxa"/>
            </w:tcMar>
            <w:vAlign w:val="center"/>
          </w:tcPr>
          <w:p w14:paraId="60D743AD"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Community social work fund (2% of profit after tax)</w:t>
            </w:r>
          </w:p>
        </w:tc>
        <w:tc>
          <w:tcPr>
            <w:tcW w:w="674" w:type="dxa"/>
            <w:shd w:val="clear" w:color="auto" w:fill="auto"/>
            <w:tcMar>
              <w:top w:w="0" w:type="dxa"/>
              <w:bottom w:w="0" w:type="dxa"/>
            </w:tcMar>
            <w:vAlign w:val="center"/>
          </w:tcPr>
          <w:p w14:paraId="3D4C1B70"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2BC57E7E"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565,320,000</w:t>
            </w:r>
          </w:p>
        </w:tc>
        <w:tc>
          <w:tcPr>
            <w:tcW w:w="1841" w:type="dxa"/>
            <w:shd w:val="clear" w:color="auto" w:fill="auto"/>
            <w:tcMar>
              <w:top w:w="0" w:type="dxa"/>
              <w:bottom w:w="0" w:type="dxa"/>
            </w:tcMar>
            <w:vAlign w:val="center"/>
          </w:tcPr>
          <w:p w14:paraId="52926357"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587,094,435</w:t>
            </w:r>
          </w:p>
        </w:tc>
      </w:tr>
      <w:tr w:rsidR="002B056D" w14:paraId="54B75D5A" w14:textId="77777777">
        <w:tc>
          <w:tcPr>
            <w:tcW w:w="650" w:type="dxa"/>
            <w:shd w:val="clear" w:color="auto" w:fill="auto"/>
            <w:tcMar>
              <w:top w:w="0" w:type="dxa"/>
              <w:bottom w:w="0" w:type="dxa"/>
            </w:tcMar>
            <w:vAlign w:val="center"/>
          </w:tcPr>
          <w:p w14:paraId="12911E52"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4106" w:type="dxa"/>
            <w:shd w:val="clear" w:color="auto" w:fill="auto"/>
            <w:tcMar>
              <w:top w:w="0" w:type="dxa"/>
              <w:bottom w:w="0" w:type="dxa"/>
            </w:tcMar>
            <w:vAlign w:val="center"/>
          </w:tcPr>
          <w:p w14:paraId="6444D9BF"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Remaining profit after tax</w:t>
            </w:r>
          </w:p>
        </w:tc>
        <w:tc>
          <w:tcPr>
            <w:tcW w:w="674" w:type="dxa"/>
            <w:shd w:val="clear" w:color="auto" w:fill="auto"/>
            <w:tcMar>
              <w:top w:w="0" w:type="dxa"/>
              <w:bottom w:w="0" w:type="dxa"/>
            </w:tcMar>
            <w:vAlign w:val="center"/>
          </w:tcPr>
          <w:p w14:paraId="406269C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1A81A927"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21,212,160,000</w:t>
            </w:r>
          </w:p>
        </w:tc>
        <w:tc>
          <w:tcPr>
            <w:tcW w:w="1841" w:type="dxa"/>
            <w:shd w:val="clear" w:color="auto" w:fill="auto"/>
            <w:tcMar>
              <w:top w:w="0" w:type="dxa"/>
              <w:bottom w:w="0" w:type="dxa"/>
            </w:tcMar>
            <w:vAlign w:val="center"/>
          </w:tcPr>
          <w:p w14:paraId="7B43022C"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22,071,988,532</w:t>
            </w:r>
          </w:p>
        </w:tc>
      </w:tr>
      <w:tr w:rsidR="002B056D" w14:paraId="577660E2" w14:textId="77777777">
        <w:tc>
          <w:tcPr>
            <w:tcW w:w="650" w:type="dxa"/>
            <w:shd w:val="clear" w:color="auto" w:fill="auto"/>
            <w:tcMar>
              <w:top w:w="0" w:type="dxa"/>
              <w:bottom w:w="0" w:type="dxa"/>
            </w:tcMar>
            <w:vAlign w:val="center"/>
          </w:tcPr>
          <w:p w14:paraId="198519D8"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4106" w:type="dxa"/>
            <w:shd w:val="clear" w:color="auto" w:fill="auto"/>
            <w:tcMar>
              <w:top w:w="0" w:type="dxa"/>
              <w:bottom w:w="0" w:type="dxa"/>
            </w:tcMar>
            <w:vAlign w:val="center"/>
          </w:tcPr>
          <w:p w14:paraId="223D2646"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Remaining profit from the previous year</w:t>
            </w:r>
          </w:p>
          <w:p w14:paraId="1EF204C1" w14:textId="77777777" w:rsidR="002B056D" w:rsidRDefault="002B056D">
            <w:pPr>
              <w:pBdr>
                <w:top w:val="nil"/>
                <w:left w:val="nil"/>
                <w:bottom w:val="nil"/>
                <w:right w:val="nil"/>
                <w:between w:val="nil"/>
              </w:pBdr>
              <w:spacing w:after="120" w:line="360" w:lineRule="auto"/>
              <w:ind w:left="50"/>
              <w:rPr>
                <w:rFonts w:ascii="Arial" w:eastAsia="Arial" w:hAnsi="Arial" w:cs="Arial"/>
                <w:color w:val="010000"/>
                <w:sz w:val="20"/>
                <w:szCs w:val="20"/>
              </w:rPr>
            </w:pPr>
          </w:p>
        </w:tc>
        <w:tc>
          <w:tcPr>
            <w:tcW w:w="674" w:type="dxa"/>
            <w:shd w:val="clear" w:color="auto" w:fill="auto"/>
            <w:tcMar>
              <w:top w:w="0" w:type="dxa"/>
              <w:bottom w:w="0" w:type="dxa"/>
            </w:tcMar>
            <w:vAlign w:val="center"/>
          </w:tcPr>
          <w:p w14:paraId="45AD11DE"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1B933C81"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7,757,506,211</w:t>
            </w:r>
          </w:p>
        </w:tc>
        <w:tc>
          <w:tcPr>
            <w:tcW w:w="1841" w:type="dxa"/>
            <w:shd w:val="clear" w:color="auto" w:fill="auto"/>
            <w:tcMar>
              <w:top w:w="0" w:type="dxa"/>
              <w:bottom w:w="0" w:type="dxa"/>
            </w:tcMar>
            <w:vAlign w:val="center"/>
          </w:tcPr>
          <w:p w14:paraId="7A84E5F2"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7,757,506,211</w:t>
            </w:r>
          </w:p>
        </w:tc>
      </w:tr>
      <w:tr w:rsidR="002B056D" w14:paraId="2EAC311F" w14:textId="77777777">
        <w:tc>
          <w:tcPr>
            <w:tcW w:w="650" w:type="dxa"/>
            <w:shd w:val="clear" w:color="auto" w:fill="auto"/>
            <w:tcMar>
              <w:top w:w="0" w:type="dxa"/>
              <w:bottom w:w="0" w:type="dxa"/>
            </w:tcMar>
            <w:vAlign w:val="center"/>
          </w:tcPr>
          <w:p w14:paraId="736FB48F"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4106" w:type="dxa"/>
            <w:shd w:val="clear" w:color="auto" w:fill="auto"/>
            <w:tcMar>
              <w:top w:w="0" w:type="dxa"/>
              <w:bottom w:w="0" w:type="dxa"/>
            </w:tcMar>
            <w:vAlign w:val="center"/>
          </w:tcPr>
          <w:p w14:paraId="1F6ED8D3"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Dividend payment</w:t>
            </w:r>
          </w:p>
        </w:tc>
        <w:tc>
          <w:tcPr>
            <w:tcW w:w="674" w:type="dxa"/>
            <w:shd w:val="clear" w:color="auto" w:fill="auto"/>
            <w:tcMar>
              <w:top w:w="0" w:type="dxa"/>
              <w:bottom w:w="0" w:type="dxa"/>
            </w:tcMar>
            <w:vAlign w:val="center"/>
          </w:tcPr>
          <w:p w14:paraId="7A80C854"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399228C4"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24,000,000,000</w:t>
            </w:r>
          </w:p>
        </w:tc>
        <w:tc>
          <w:tcPr>
            <w:tcW w:w="1841" w:type="dxa"/>
            <w:shd w:val="clear" w:color="auto" w:fill="auto"/>
            <w:tcMar>
              <w:top w:w="0" w:type="dxa"/>
              <w:bottom w:w="0" w:type="dxa"/>
            </w:tcMar>
            <w:vAlign w:val="center"/>
          </w:tcPr>
          <w:p w14:paraId="3732B08F"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24,000,000,000</w:t>
            </w:r>
          </w:p>
        </w:tc>
      </w:tr>
      <w:tr w:rsidR="002B056D" w14:paraId="51B3CD3A" w14:textId="77777777">
        <w:tc>
          <w:tcPr>
            <w:tcW w:w="650" w:type="dxa"/>
            <w:shd w:val="clear" w:color="auto" w:fill="auto"/>
            <w:tcMar>
              <w:top w:w="0" w:type="dxa"/>
              <w:bottom w:w="0" w:type="dxa"/>
            </w:tcMar>
            <w:vAlign w:val="center"/>
          </w:tcPr>
          <w:p w14:paraId="1EE53D91" w14:textId="77777777" w:rsidR="002B056D" w:rsidRDefault="002B056D">
            <w:pPr>
              <w:spacing w:after="120" w:line="360" w:lineRule="auto"/>
              <w:jc w:val="center"/>
              <w:rPr>
                <w:rFonts w:ascii="Arial" w:eastAsia="Arial" w:hAnsi="Arial" w:cs="Arial"/>
                <w:color w:val="010000"/>
                <w:sz w:val="20"/>
                <w:szCs w:val="20"/>
              </w:rPr>
            </w:pPr>
          </w:p>
        </w:tc>
        <w:tc>
          <w:tcPr>
            <w:tcW w:w="4106" w:type="dxa"/>
            <w:shd w:val="clear" w:color="auto" w:fill="auto"/>
            <w:tcMar>
              <w:top w:w="0" w:type="dxa"/>
              <w:bottom w:w="0" w:type="dxa"/>
            </w:tcMar>
            <w:vAlign w:val="center"/>
          </w:tcPr>
          <w:p w14:paraId="5B77AC34"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Dividend payment rate</w:t>
            </w:r>
          </w:p>
        </w:tc>
        <w:tc>
          <w:tcPr>
            <w:tcW w:w="674" w:type="dxa"/>
            <w:shd w:val="clear" w:color="auto" w:fill="auto"/>
            <w:tcMar>
              <w:top w:w="0" w:type="dxa"/>
              <w:bottom w:w="0" w:type="dxa"/>
            </w:tcMar>
            <w:vAlign w:val="center"/>
          </w:tcPr>
          <w:p w14:paraId="19164080"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1746" w:type="dxa"/>
            <w:shd w:val="clear" w:color="auto" w:fill="auto"/>
            <w:tcMar>
              <w:top w:w="0" w:type="dxa"/>
              <w:bottom w:w="0" w:type="dxa"/>
            </w:tcMar>
            <w:vAlign w:val="center"/>
          </w:tcPr>
          <w:p w14:paraId="05B540C6"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8.0%</w:t>
            </w:r>
          </w:p>
        </w:tc>
        <w:tc>
          <w:tcPr>
            <w:tcW w:w="1841" w:type="dxa"/>
            <w:shd w:val="clear" w:color="auto" w:fill="auto"/>
            <w:tcMar>
              <w:top w:w="0" w:type="dxa"/>
              <w:bottom w:w="0" w:type="dxa"/>
            </w:tcMar>
            <w:vAlign w:val="center"/>
          </w:tcPr>
          <w:p w14:paraId="1582B058"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8.0%</w:t>
            </w:r>
          </w:p>
        </w:tc>
      </w:tr>
      <w:tr w:rsidR="002B056D" w14:paraId="0190EBBB" w14:textId="77777777">
        <w:tc>
          <w:tcPr>
            <w:tcW w:w="650" w:type="dxa"/>
            <w:shd w:val="clear" w:color="auto" w:fill="auto"/>
            <w:tcMar>
              <w:top w:w="0" w:type="dxa"/>
              <w:bottom w:w="0" w:type="dxa"/>
            </w:tcMar>
            <w:vAlign w:val="center"/>
          </w:tcPr>
          <w:p w14:paraId="79D4F8D1" w14:textId="77777777" w:rsidR="002B056D" w:rsidRDefault="002B056D">
            <w:pPr>
              <w:spacing w:after="120" w:line="360" w:lineRule="auto"/>
              <w:jc w:val="center"/>
              <w:rPr>
                <w:rFonts w:ascii="Arial" w:eastAsia="Arial" w:hAnsi="Arial" w:cs="Arial"/>
                <w:color w:val="010000"/>
                <w:sz w:val="20"/>
                <w:szCs w:val="20"/>
              </w:rPr>
            </w:pPr>
          </w:p>
        </w:tc>
        <w:tc>
          <w:tcPr>
            <w:tcW w:w="4106" w:type="dxa"/>
            <w:shd w:val="clear" w:color="auto" w:fill="auto"/>
            <w:tcMar>
              <w:top w:w="0" w:type="dxa"/>
              <w:bottom w:w="0" w:type="dxa"/>
            </w:tcMar>
            <w:vAlign w:val="center"/>
          </w:tcPr>
          <w:p w14:paraId="7A5A6674"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Value of shares for dividend payment</w:t>
            </w:r>
          </w:p>
        </w:tc>
        <w:tc>
          <w:tcPr>
            <w:tcW w:w="674" w:type="dxa"/>
            <w:shd w:val="clear" w:color="auto" w:fill="auto"/>
            <w:tcMar>
              <w:top w:w="0" w:type="dxa"/>
              <w:bottom w:w="0" w:type="dxa"/>
            </w:tcMar>
            <w:vAlign w:val="center"/>
          </w:tcPr>
          <w:p w14:paraId="79196C25"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5F56B8F5"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300,000,000,000</w:t>
            </w:r>
          </w:p>
        </w:tc>
        <w:tc>
          <w:tcPr>
            <w:tcW w:w="1841" w:type="dxa"/>
            <w:shd w:val="clear" w:color="auto" w:fill="auto"/>
            <w:tcMar>
              <w:top w:w="0" w:type="dxa"/>
              <w:bottom w:w="0" w:type="dxa"/>
            </w:tcMar>
            <w:vAlign w:val="center"/>
          </w:tcPr>
          <w:p w14:paraId="1D02700A"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300,000,000,000</w:t>
            </w:r>
          </w:p>
        </w:tc>
      </w:tr>
      <w:tr w:rsidR="002B056D" w14:paraId="5DA05EE7" w14:textId="77777777">
        <w:tc>
          <w:tcPr>
            <w:tcW w:w="650" w:type="dxa"/>
            <w:shd w:val="clear" w:color="auto" w:fill="auto"/>
            <w:tcMar>
              <w:top w:w="0" w:type="dxa"/>
              <w:bottom w:w="0" w:type="dxa"/>
            </w:tcMar>
            <w:vAlign w:val="center"/>
          </w:tcPr>
          <w:p w14:paraId="2FB00BF9" w14:textId="77777777" w:rsidR="002B056D" w:rsidRDefault="002B056D">
            <w:pPr>
              <w:spacing w:after="120" w:line="360" w:lineRule="auto"/>
              <w:jc w:val="center"/>
              <w:rPr>
                <w:rFonts w:ascii="Arial" w:eastAsia="Arial" w:hAnsi="Arial" w:cs="Arial"/>
                <w:color w:val="010000"/>
                <w:sz w:val="20"/>
                <w:szCs w:val="20"/>
              </w:rPr>
            </w:pPr>
          </w:p>
        </w:tc>
        <w:tc>
          <w:tcPr>
            <w:tcW w:w="4106" w:type="dxa"/>
            <w:shd w:val="clear" w:color="auto" w:fill="auto"/>
            <w:tcMar>
              <w:top w:w="0" w:type="dxa"/>
              <w:bottom w:w="0" w:type="dxa"/>
            </w:tcMar>
            <w:vAlign w:val="center"/>
          </w:tcPr>
          <w:p w14:paraId="0FC81B4A"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 xml:space="preserve">Value of dividend payment </w:t>
            </w:r>
          </w:p>
        </w:tc>
        <w:tc>
          <w:tcPr>
            <w:tcW w:w="674" w:type="dxa"/>
            <w:shd w:val="clear" w:color="auto" w:fill="auto"/>
            <w:tcMar>
              <w:top w:w="0" w:type="dxa"/>
              <w:bottom w:w="0" w:type="dxa"/>
            </w:tcMar>
            <w:vAlign w:val="center"/>
          </w:tcPr>
          <w:p w14:paraId="0ACB9DF8"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4077F824"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24,000,000,000</w:t>
            </w:r>
          </w:p>
        </w:tc>
        <w:tc>
          <w:tcPr>
            <w:tcW w:w="1841" w:type="dxa"/>
            <w:shd w:val="clear" w:color="auto" w:fill="auto"/>
            <w:tcMar>
              <w:top w:w="0" w:type="dxa"/>
              <w:bottom w:w="0" w:type="dxa"/>
            </w:tcMar>
            <w:vAlign w:val="center"/>
          </w:tcPr>
          <w:p w14:paraId="55775262"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24,000,000,000</w:t>
            </w:r>
          </w:p>
        </w:tc>
      </w:tr>
      <w:tr w:rsidR="002B056D" w14:paraId="10013610" w14:textId="77777777">
        <w:tc>
          <w:tcPr>
            <w:tcW w:w="650" w:type="dxa"/>
            <w:shd w:val="clear" w:color="auto" w:fill="auto"/>
            <w:tcMar>
              <w:top w:w="0" w:type="dxa"/>
              <w:bottom w:w="0" w:type="dxa"/>
            </w:tcMar>
            <w:vAlign w:val="center"/>
          </w:tcPr>
          <w:p w14:paraId="6C65B3EF"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4106" w:type="dxa"/>
            <w:shd w:val="clear" w:color="auto" w:fill="auto"/>
            <w:tcMar>
              <w:top w:w="0" w:type="dxa"/>
              <w:bottom w:w="0" w:type="dxa"/>
            </w:tcMar>
            <w:vAlign w:val="center"/>
          </w:tcPr>
          <w:p w14:paraId="14B4C6DF" w14:textId="77777777" w:rsidR="002B056D" w:rsidRDefault="00390D89">
            <w:pPr>
              <w:pBdr>
                <w:top w:val="nil"/>
                <w:left w:val="nil"/>
                <w:bottom w:val="nil"/>
                <w:right w:val="nil"/>
                <w:between w:val="nil"/>
              </w:pBdr>
              <w:spacing w:after="120" w:line="360" w:lineRule="auto"/>
              <w:ind w:left="50"/>
              <w:rPr>
                <w:rFonts w:ascii="Arial" w:eastAsia="Arial" w:hAnsi="Arial" w:cs="Arial"/>
                <w:color w:val="010000"/>
                <w:sz w:val="20"/>
                <w:szCs w:val="20"/>
              </w:rPr>
            </w:pPr>
            <w:r>
              <w:rPr>
                <w:rFonts w:ascii="Arial" w:hAnsi="Arial"/>
                <w:color w:val="010000"/>
                <w:sz w:val="20"/>
              </w:rPr>
              <w:t>Remaining profit carried forward to the next period</w:t>
            </w:r>
          </w:p>
        </w:tc>
        <w:tc>
          <w:tcPr>
            <w:tcW w:w="674" w:type="dxa"/>
            <w:shd w:val="clear" w:color="auto" w:fill="auto"/>
            <w:tcMar>
              <w:top w:w="0" w:type="dxa"/>
              <w:bottom w:w="0" w:type="dxa"/>
            </w:tcMar>
            <w:vAlign w:val="center"/>
          </w:tcPr>
          <w:p w14:paraId="763E13FA"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46" w:type="dxa"/>
            <w:shd w:val="clear" w:color="auto" w:fill="auto"/>
            <w:tcMar>
              <w:top w:w="0" w:type="dxa"/>
              <w:bottom w:w="0" w:type="dxa"/>
            </w:tcMar>
            <w:vAlign w:val="center"/>
          </w:tcPr>
          <w:p w14:paraId="46915C26"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4,969,666,211</w:t>
            </w:r>
          </w:p>
        </w:tc>
        <w:tc>
          <w:tcPr>
            <w:tcW w:w="1841" w:type="dxa"/>
            <w:shd w:val="clear" w:color="auto" w:fill="auto"/>
            <w:tcMar>
              <w:top w:w="0" w:type="dxa"/>
              <w:bottom w:w="0" w:type="dxa"/>
            </w:tcMar>
            <w:vAlign w:val="center"/>
          </w:tcPr>
          <w:p w14:paraId="5189013C" w14:textId="77777777" w:rsidR="002B056D" w:rsidRDefault="00390D89">
            <w:pPr>
              <w:pBdr>
                <w:top w:val="nil"/>
                <w:left w:val="nil"/>
                <w:bottom w:val="nil"/>
                <w:right w:val="nil"/>
                <w:between w:val="nil"/>
              </w:pBdr>
              <w:spacing w:after="120" w:line="360" w:lineRule="auto"/>
              <w:ind w:right="82"/>
              <w:jc w:val="right"/>
              <w:rPr>
                <w:rFonts w:ascii="Arial" w:eastAsia="Arial" w:hAnsi="Arial" w:cs="Arial"/>
                <w:color w:val="010000"/>
                <w:sz w:val="20"/>
                <w:szCs w:val="20"/>
              </w:rPr>
            </w:pPr>
            <w:r>
              <w:rPr>
                <w:rFonts w:ascii="Arial" w:hAnsi="Arial"/>
                <w:color w:val="010000"/>
                <w:sz w:val="20"/>
              </w:rPr>
              <w:t>5,829,494,743</w:t>
            </w:r>
          </w:p>
        </w:tc>
      </w:tr>
    </w:tbl>
    <w:p w14:paraId="1983C06F" w14:textId="77777777" w:rsidR="002B056D" w:rsidRDefault="00390D89">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the Profit distribution plan for 2024.</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4826"/>
        <w:gridCol w:w="1078"/>
        <w:gridCol w:w="2429"/>
      </w:tblGrid>
      <w:tr w:rsidR="002B056D" w14:paraId="043548FE" w14:textId="77777777">
        <w:tc>
          <w:tcPr>
            <w:tcW w:w="684" w:type="dxa"/>
            <w:shd w:val="clear" w:color="auto" w:fill="auto"/>
            <w:tcMar>
              <w:top w:w="0" w:type="dxa"/>
              <w:bottom w:w="0" w:type="dxa"/>
            </w:tcMar>
            <w:vAlign w:val="center"/>
          </w:tcPr>
          <w:p w14:paraId="6E7A13C6"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826" w:type="dxa"/>
            <w:shd w:val="clear" w:color="auto" w:fill="auto"/>
            <w:tcMar>
              <w:top w:w="0" w:type="dxa"/>
              <w:bottom w:w="0" w:type="dxa"/>
            </w:tcMar>
            <w:vAlign w:val="center"/>
          </w:tcPr>
          <w:p w14:paraId="5C558EA3"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078" w:type="dxa"/>
            <w:shd w:val="clear" w:color="auto" w:fill="auto"/>
            <w:tcMar>
              <w:top w:w="0" w:type="dxa"/>
              <w:bottom w:w="0" w:type="dxa"/>
            </w:tcMar>
            <w:vAlign w:val="center"/>
          </w:tcPr>
          <w:p w14:paraId="594DD8D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2429" w:type="dxa"/>
            <w:shd w:val="clear" w:color="auto" w:fill="auto"/>
            <w:tcMar>
              <w:top w:w="0" w:type="dxa"/>
              <w:bottom w:w="0" w:type="dxa"/>
            </w:tcMar>
            <w:vAlign w:val="center"/>
          </w:tcPr>
          <w:p w14:paraId="1A853B01"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2024 Plan</w:t>
            </w:r>
          </w:p>
        </w:tc>
      </w:tr>
      <w:tr w:rsidR="002B056D" w14:paraId="0E1CCDDD" w14:textId="77777777">
        <w:tc>
          <w:tcPr>
            <w:tcW w:w="684" w:type="dxa"/>
            <w:shd w:val="clear" w:color="auto" w:fill="auto"/>
            <w:tcMar>
              <w:top w:w="0" w:type="dxa"/>
              <w:bottom w:w="0" w:type="dxa"/>
            </w:tcMar>
            <w:vAlign w:val="center"/>
          </w:tcPr>
          <w:p w14:paraId="0B3DF186"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4826" w:type="dxa"/>
            <w:shd w:val="clear" w:color="auto" w:fill="auto"/>
            <w:tcMar>
              <w:top w:w="0" w:type="dxa"/>
              <w:bottom w:w="0" w:type="dxa"/>
            </w:tcMar>
            <w:vAlign w:val="center"/>
          </w:tcPr>
          <w:p w14:paraId="62674C76"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Profit after tax</w:t>
            </w:r>
          </w:p>
        </w:tc>
        <w:tc>
          <w:tcPr>
            <w:tcW w:w="1078" w:type="dxa"/>
            <w:shd w:val="clear" w:color="auto" w:fill="auto"/>
            <w:tcMar>
              <w:top w:w="0" w:type="dxa"/>
              <w:bottom w:w="0" w:type="dxa"/>
            </w:tcMar>
            <w:vAlign w:val="center"/>
          </w:tcPr>
          <w:p w14:paraId="2FED4035"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3BC4F5F7"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28,219,000,000</w:t>
            </w:r>
          </w:p>
        </w:tc>
      </w:tr>
      <w:tr w:rsidR="002B056D" w14:paraId="6D236A54" w14:textId="77777777">
        <w:tc>
          <w:tcPr>
            <w:tcW w:w="684" w:type="dxa"/>
            <w:shd w:val="clear" w:color="auto" w:fill="auto"/>
            <w:tcMar>
              <w:top w:w="0" w:type="dxa"/>
              <w:bottom w:w="0" w:type="dxa"/>
            </w:tcMar>
            <w:vAlign w:val="center"/>
          </w:tcPr>
          <w:p w14:paraId="0212558E"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4826" w:type="dxa"/>
            <w:shd w:val="clear" w:color="auto" w:fill="auto"/>
            <w:tcMar>
              <w:top w:w="0" w:type="dxa"/>
              <w:bottom w:w="0" w:type="dxa"/>
            </w:tcMar>
            <w:vAlign w:val="center"/>
          </w:tcPr>
          <w:p w14:paraId="1468D9E4"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Fund allocation (equivalent to 24.64% of profit after tax)</w:t>
            </w:r>
          </w:p>
        </w:tc>
        <w:tc>
          <w:tcPr>
            <w:tcW w:w="1078" w:type="dxa"/>
            <w:shd w:val="clear" w:color="auto" w:fill="auto"/>
            <w:tcMar>
              <w:top w:w="0" w:type="dxa"/>
              <w:bottom w:w="0" w:type="dxa"/>
            </w:tcMar>
            <w:vAlign w:val="center"/>
          </w:tcPr>
          <w:p w14:paraId="157BC73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48973D9C"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6,952,560,000</w:t>
            </w:r>
          </w:p>
        </w:tc>
      </w:tr>
      <w:tr w:rsidR="002B056D" w14:paraId="0D55DA6C" w14:textId="77777777">
        <w:tc>
          <w:tcPr>
            <w:tcW w:w="684" w:type="dxa"/>
            <w:shd w:val="clear" w:color="auto" w:fill="auto"/>
            <w:tcMar>
              <w:top w:w="0" w:type="dxa"/>
              <w:bottom w:w="0" w:type="dxa"/>
            </w:tcMar>
            <w:vAlign w:val="center"/>
          </w:tcPr>
          <w:p w14:paraId="02B2FE7F"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2.1</w:t>
            </w:r>
          </w:p>
        </w:tc>
        <w:tc>
          <w:tcPr>
            <w:tcW w:w="4826" w:type="dxa"/>
            <w:shd w:val="clear" w:color="auto" w:fill="auto"/>
            <w:tcMar>
              <w:top w:w="0" w:type="dxa"/>
              <w:bottom w:w="0" w:type="dxa"/>
            </w:tcMar>
            <w:vAlign w:val="center"/>
          </w:tcPr>
          <w:p w14:paraId="27DA09DB"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Development investment fund (10% of profit after tax)</w:t>
            </w:r>
          </w:p>
        </w:tc>
        <w:tc>
          <w:tcPr>
            <w:tcW w:w="1078" w:type="dxa"/>
            <w:shd w:val="clear" w:color="auto" w:fill="auto"/>
            <w:tcMar>
              <w:top w:w="0" w:type="dxa"/>
              <w:bottom w:w="0" w:type="dxa"/>
            </w:tcMar>
            <w:vAlign w:val="center"/>
          </w:tcPr>
          <w:p w14:paraId="72B8E77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3A95511F"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2,821,900,000</w:t>
            </w:r>
          </w:p>
        </w:tc>
      </w:tr>
      <w:tr w:rsidR="002B056D" w14:paraId="24B0F329" w14:textId="77777777">
        <w:tc>
          <w:tcPr>
            <w:tcW w:w="684" w:type="dxa"/>
            <w:shd w:val="clear" w:color="auto" w:fill="auto"/>
            <w:tcMar>
              <w:top w:w="0" w:type="dxa"/>
              <w:bottom w:w="0" w:type="dxa"/>
            </w:tcMar>
            <w:vAlign w:val="center"/>
          </w:tcPr>
          <w:p w14:paraId="31A911A4"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2.2</w:t>
            </w:r>
          </w:p>
        </w:tc>
        <w:tc>
          <w:tcPr>
            <w:tcW w:w="4826" w:type="dxa"/>
            <w:shd w:val="clear" w:color="auto" w:fill="auto"/>
            <w:tcMar>
              <w:top w:w="0" w:type="dxa"/>
              <w:bottom w:w="0" w:type="dxa"/>
            </w:tcMar>
            <w:vAlign w:val="center"/>
          </w:tcPr>
          <w:p w14:paraId="3E168118"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Bonus and welfare fund (10% Profit after tax)</w:t>
            </w:r>
          </w:p>
        </w:tc>
        <w:tc>
          <w:tcPr>
            <w:tcW w:w="1078" w:type="dxa"/>
            <w:shd w:val="clear" w:color="auto" w:fill="auto"/>
            <w:tcMar>
              <w:top w:w="0" w:type="dxa"/>
              <w:bottom w:w="0" w:type="dxa"/>
            </w:tcMar>
            <w:vAlign w:val="center"/>
          </w:tcPr>
          <w:p w14:paraId="00633842"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7971FAD7"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2,821,900,000</w:t>
            </w:r>
          </w:p>
        </w:tc>
      </w:tr>
      <w:tr w:rsidR="002B056D" w14:paraId="7EBC28C4" w14:textId="77777777">
        <w:tc>
          <w:tcPr>
            <w:tcW w:w="684" w:type="dxa"/>
            <w:shd w:val="clear" w:color="auto" w:fill="auto"/>
            <w:tcMar>
              <w:top w:w="0" w:type="dxa"/>
              <w:bottom w:w="0" w:type="dxa"/>
            </w:tcMar>
            <w:vAlign w:val="center"/>
          </w:tcPr>
          <w:p w14:paraId="336D20B8"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2.3</w:t>
            </w:r>
          </w:p>
        </w:tc>
        <w:tc>
          <w:tcPr>
            <w:tcW w:w="4826" w:type="dxa"/>
            <w:shd w:val="clear" w:color="auto" w:fill="auto"/>
            <w:tcMar>
              <w:top w:w="0" w:type="dxa"/>
              <w:bottom w:w="0" w:type="dxa"/>
            </w:tcMar>
            <w:vAlign w:val="center"/>
          </w:tcPr>
          <w:p w14:paraId="7C8D0EDA"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Bonus fund for the Company's managers (equal to 1 month of planned salary, 0.64% of profit after tax) (According to Circular 28/2016/TT-BLDTBXH)</w:t>
            </w:r>
          </w:p>
        </w:tc>
        <w:tc>
          <w:tcPr>
            <w:tcW w:w="1078" w:type="dxa"/>
            <w:shd w:val="clear" w:color="auto" w:fill="auto"/>
            <w:tcMar>
              <w:top w:w="0" w:type="dxa"/>
              <w:bottom w:w="0" w:type="dxa"/>
            </w:tcMar>
            <w:vAlign w:val="center"/>
          </w:tcPr>
          <w:p w14:paraId="4A7FC37F"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227BB42F"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180,000,000</w:t>
            </w:r>
          </w:p>
        </w:tc>
      </w:tr>
      <w:tr w:rsidR="002B056D" w14:paraId="20317F0E" w14:textId="77777777">
        <w:tc>
          <w:tcPr>
            <w:tcW w:w="684" w:type="dxa"/>
            <w:shd w:val="clear" w:color="auto" w:fill="auto"/>
            <w:tcMar>
              <w:top w:w="0" w:type="dxa"/>
              <w:bottom w:w="0" w:type="dxa"/>
            </w:tcMar>
            <w:vAlign w:val="center"/>
          </w:tcPr>
          <w:p w14:paraId="1374E22A"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2.4</w:t>
            </w:r>
          </w:p>
        </w:tc>
        <w:tc>
          <w:tcPr>
            <w:tcW w:w="4826" w:type="dxa"/>
            <w:shd w:val="clear" w:color="auto" w:fill="auto"/>
            <w:tcMar>
              <w:top w:w="0" w:type="dxa"/>
              <w:bottom w:w="0" w:type="dxa"/>
            </w:tcMar>
            <w:vAlign w:val="center"/>
          </w:tcPr>
          <w:p w14:paraId="06151B96"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Bonus fund for related parties (2% of profit after tax)</w:t>
            </w:r>
          </w:p>
        </w:tc>
        <w:tc>
          <w:tcPr>
            <w:tcW w:w="1078" w:type="dxa"/>
            <w:shd w:val="clear" w:color="auto" w:fill="auto"/>
            <w:tcMar>
              <w:top w:w="0" w:type="dxa"/>
              <w:bottom w:w="0" w:type="dxa"/>
            </w:tcMar>
            <w:vAlign w:val="center"/>
          </w:tcPr>
          <w:p w14:paraId="72CFF10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2E5F7C54"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564,380,000</w:t>
            </w:r>
          </w:p>
        </w:tc>
      </w:tr>
      <w:tr w:rsidR="002B056D" w14:paraId="51BA51E2" w14:textId="77777777">
        <w:tc>
          <w:tcPr>
            <w:tcW w:w="684" w:type="dxa"/>
            <w:shd w:val="clear" w:color="auto" w:fill="auto"/>
            <w:tcMar>
              <w:top w:w="0" w:type="dxa"/>
              <w:bottom w:w="0" w:type="dxa"/>
            </w:tcMar>
            <w:vAlign w:val="center"/>
          </w:tcPr>
          <w:p w14:paraId="25E3FC14"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2.5</w:t>
            </w:r>
          </w:p>
        </w:tc>
        <w:tc>
          <w:tcPr>
            <w:tcW w:w="4826" w:type="dxa"/>
            <w:shd w:val="clear" w:color="auto" w:fill="auto"/>
            <w:tcMar>
              <w:top w:w="0" w:type="dxa"/>
              <w:bottom w:w="0" w:type="dxa"/>
            </w:tcMar>
            <w:vAlign w:val="center"/>
          </w:tcPr>
          <w:p w14:paraId="364A4363"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Community social work fund (2% of profit after tax)</w:t>
            </w:r>
          </w:p>
        </w:tc>
        <w:tc>
          <w:tcPr>
            <w:tcW w:w="1078" w:type="dxa"/>
            <w:shd w:val="clear" w:color="auto" w:fill="auto"/>
            <w:tcMar>
              <w:top w:w="0" w:type="dxa"/>
              <w:bottom w:w="0" w:type="dxa"/>
            </w:tcMar>
            <w:vAlign w:val="center"/>
          </w:tcPr>
          <w:p w14:paraId="5A0808A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0141BB47"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564,380,000</w:t>
            </w:r>
          </w:p>
        </w:tc>
      </w:tr>
      <w:tr w:rsidR="002B056D" w14:paraId="571C8A4B" w14:textId="77777777">
        <w:tc>
          <w:tcPr>
            <w:tcW w:w="684" w:type="dxa"/>
            <w:shd w:val="clear" w:color="auto" w:fill="auto"/>
            <w:tcMar>
              <w:top w:w="0" w:type="dxa"/>
              <w:bottom w:w="0" w:type="dxa"/>
            </w:tcMar>
            <w:vAlign w:val="center"/>
          </w:tcPr>
          <w:p w14:paraId="73E422B1"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4826" w:type="dxa"/>
            <w:shd w:val="clear" w:color="auto" w:fill="auto"/>
            <w:tcMar>
              <w:top w:w="0" w:type="dxa"/>
              <w:bottom w:w="0" w:type="dxa"/>
            </w:tcMar>
            <w:vAlign w:val="center"/>
          </w:tcPr>
          <w:p w14:paraId="1213D292"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Remaining profit after tax</w:t>
            </w:r>
          </w:p>
        </w:tc>
        <w:tc>
          <w:tcPr>
            <w:tcW w:w="1078" w:type="dxa"/>
            <w:shd w:val="clear" w:color="auto" w:fill="auto"/>
            <w:tcMar>
              <w:top w:w="0" w:type="dxa"/>
              <w:bottom w:w="0" w:type="dxa"/>
            </w:tcMar>
            <w:vAlign w:val="center"/>
          </w:tcPr>
          <w:p w14:paraId="1D81DEAB"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1A47FF5E"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21,266,440,000</w:t>
            </w:r>
          </w:p>
        </w:tc>
      </w:tr>
      <w:tr w:rsidR="002B056D" w14:paraId="43AACDD7" w14:textId="77777777">
        <w:tc>
          <w:tcPr>
            <w:tcW w:w="684" w:type="dxa"/>
            <w:shd w:val="clear" w:color="auto" w:fill="auto"/>
            <w:tcMar>
              <w:top w:w="0" w:type="dxa"/>
              <w:bottom w:w="0" w:type="dxa"/>
            </w:tcMar>
            <w:vAlign w:val="center"/>
          </w:tcPr>
          <w:p w14:paraId="7CF25495"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4826" w:type="dxa"/>
            <w:shd w:val="clear" w:color="auto" w:fill="auto"/>
            <w:tcMar>
              <w:top w:w="0" w:type="dxa"/>
              <w:bottom w:w="0" w:type="dxa"/>
            </w:tcMar>
            <w:vAlign w:val="center"/>
          </w:tcPr>
          <w:p w14:paraId="77A3C333"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Remaining profit transferred from previous years</w:t>
            </w:r>
          </w:p>
        </w:tc>
        <w:tc>
          <w:tcPr>
            <w:tcW w:w="1078" w:type="dxa"/>
            <w:shd w:val="clear" w:color="auto" w:fill="auto"/>
            <w:tcMar>
              <w:top w:w="0" w:type="dxa"/>
              <w:bottom w:w="0" w:type="dxa"/>
            </w:tcMar>
            <w:vAlign w:val="center"/>
          </w:tcPr>
          <w:p w14:paraId="60846B18"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530D6364"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5,829,494,743</w:t>
            </w:r>
          </w:p>
        </w:tc>
      </w:tr>
      <w:tr w:rsidR="002B056D" w14:paraId="5AF9D3F8" w14:textId="77777777">
        <w:tc>
          <w:tcPr>
            <w:tcW w:w="684" w:type="dxa"/>
            <w:shd w:val="clear" w:color="auto" w:fill="auto"/>
            <w:tcMar>
              <w:top w:w="0" w:type="dxa"/>
              <w:bottom w:w="0" w:type="dxa"/>
            </w:tcMar>
            <w:vAlign w:val="center"/>
          </w:tcPr>
          <w:p w14:paraId="0AA79B22"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4826" w:type="dxa"/>
            <w:shd w:val="clear" w:color="auto" w:fill="auto"/>
            <w:tcMar>
              <w:top w:w="0" w:type="dxa"/>
              <w:bottom w:w="0" w:type="dxa"/>
            </w:tcMar>
            <w:vAlign w:val="center"/>
          </w:tcPr>
          <w:p w14:paraId="5AF71BA6"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Dividend payment</w:t>
            </w:r>
          </w:p>
        </w:tc>
        <w:tc>
          <w:tcPr>
            <w:tcW w:w="1078" w:type="dxa"/>
            <w:shd w:val="clear" w:color="auto" w:fill="auto"/>
            <w:tcMar>
              <w:top w:w="0" w:type="dxa"/>
              <w:bottom w:w="0" w:type="dxa"/>
            </w:tcMar>
            <w:vAlign w:val="center"/>
          </w:tcPr>
          <w:p w14:paraId="54ECA744"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15D9AE21"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24,000,000,000</w:t>
            </w:r>
          </w:p>
        </w:tc>
      </w:tr>
      <w:tr w:rsidR="002B056D" w14:paraId="2DC7639B" w14:textId="77777777">
        <w:tc>
          <w:tcPr>
            <w:tcW w:w="684" w:type="dxa"/>
            <w:shd w:val="clear" w:color="auto" w:fill="auto"/>
            <w:tcMar>
              <w:top w:w="0" w:type="dxa"/>
              <w:bottom w:w="0" w:type="dxa"/>
            </w:tcMar>
            <w:vAlign w:val="center"/>
          </w:tcPr>
          <w:p w14:paraId="3D45C2D6" w14:textId="77777777" w:rsidR="002B056D" w:rsidRDefault="002B056D">
            <w:pPr>
              <w:spacing w:after="120" w:line="360" w:lineRule="auto"/>
              <w:jc w:val="center"/>
              <w:rPr>
                <w:rFonts w:ascii="Arial" w:eastAsia="Arial" w:hAnsi="Arial" w:cs="Arial"/>
                <w:color w:val="010000"/>
                <w:sz w:val="20"/>
                <w:szCs w:val="20"/>
              </w:rPr>
            </w:pPr>
          </w:p>
        </w:tc>
        <w:tc>
          <w:tcPr>
            <w:tcW w:w="4826" w:type="dxa"/>
            <w:shd w:val="clear" w:color="auto" w:fill="auto"/>
            <w:tcMar>
              <w:top w:w="0" w:type="dxa"/>
              <w:bottom w:w="0" w:type="dxa"/>
            </w:tcMar>
            <w:vAlign w:val="center"/>
          </w:tcPr>
          <w:p w14:paraId="38505B3E"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Dividend payment rate</w:t>
            </w:r>
          </w:p>
        </w:tc>
        <w:tc>
          <w:tcPr>
            <w:tcW w:w="1078" w:type="dxa"/>
            <w:shd w:val="clear" w:color="auto" w:fill="auto"/>
            <w:tcMar>
              <w:top w:w="0" w:type="dxa"/>
              <w:bottom w:w="0" w:type="dxa"/>
            </w:tcMar>
            <w:vAlign w:val="center"/>
          </w:tcPr>
          <w:p w14:paraId="7DC928A5"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2429" w:type="dxa"/>
            <w:shd w:val="clear" w:color="auto" w:fill="auto"/>
            <w:tcMar>
              <w:top w:w="0" w:type="dxa"/>
              <w:bottom w:w="0" w:type="dxa"/>
            </w:tcMar>
            <w:vAlign w:val="center"/>
          </w:tcPr>
          <w:p w14:paraId="29293AF4"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8.0%</w:t>
            </w:r>
          </w:p>
        </w:tc>
      </w:tr>
      <w:tr w:rsidR="002B056D" w14:paraId="306FC1F0" w14:textId="77777777">
        <w:tc>
          <w:tcPr>
            <w:tcW w:w="684" w:type="dxa"/>
            <w:shd w:val="clear" w:color="auto" w:fill="auto"/>
            <w:tcMar>
              <w:top w:w="0" w:type="dxa"/>
              <w:bottom w:w="0" w:type="dxa"/>
            </w:tcMar>
            <w:vAlign w:val="center"/>
          </w:tcPr>
          <w:p w14:paraId="5544F74A" w14:textId="77777777" w:rsidR="002B056D" w:rsidRDefault="002B056D">
            <w:pPr>
              <w:spacing w:after="120" w:line="360" w:lineRule="auto"/>
              <w:jc w:val="center"/>
              <w:rPr>
                <w:rFonts w:ascii="Arial" w:eastAsia="Arial" w:hAnsi="Arial" w:cs="Arial"/>
                <w:color w:val="010000"/>
                <w:sz w:val="20"/>
                <w:szCs w:val="20"/>
              </w:rPr>
            </w:pPr>
          </w:p>
        </w:tc>
        <w:tc>
          <w:tcPr>
            <w:tcW w:w="4826" w:type="dxa"/>
            <w:shd w:val="clear" w:color="auto" w:fill="auto"/>
            <w:tcMar>
              <w:top w:w="0" w:type="dxa"/>
              <w:bottom w:w="0" w:type="dxa"/>
            </w:tcMar>
            <w:vAlign w:val="center"/>
          </w:tcPr>
          <w:p w14:paraId="51CFC4BF"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Value of shares for dividend payment</w:t>
            </w:r>
          </w:p>
        </w:tc>
        <w:tc>
          <w:tcPr>
            <w:tcW w:w="1078" w:type="dxa"/>
            <w:shd w:val="clear" w:color="auto" w:fill="auto"/>
            <w:tcMar>
              <w:top w:w="0" w:type="dxa"/>
              <w:bottom w:w="0" w:type="dxa"/>
            </w:tcMar>
            <w:vAlign w:val="center"/>
          </w:tcPr>
          <w:p w14:paraId="2ABBBEB0"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7F8F1D9B"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300,000,000,000</w:t>
            </w:r>
          </w:p>
        </w:tc>
      </w:tr>
      <w:tr w:rsidR="002B056D" w14:paraId="0B505AFD" w14:textId="77777777">
        <w:tc>
          <w:tcPr>
            <w:tcW w:w="684" w:type="dxa"/>
            <w:shd w:val="clear" w:color="auto" w:fill="auto"/>
            <w:tcMar>
              <w:top w:w="0" w:type="dxa"/>
              <w:bottom w:w="0" w:type="dxa"/>
            </w:tcMar>
            <w:vAlign w:val="center"/>
          </w:tcPr>
          <w:p w14:paraId="4A6FED21" w14:textId="77777777" w:rsidR="002B056D" w:rsidRDefault="002B056D">
            <w:pPr>
              <w:spacing w:after="120" w:line="360" w:lineRule="auto"/>
              <w:jc w:val="center"/>
              <w:rPr>
                <w:rFonts w:ascii="Arial" w:eastAsia="Arial" w:hAnsi="Arial" w:cs="Arial"/>
                <w:color w:val="010000"/>
                <w:sz w:val="20"/>
                <w:szCs w:val="20"/>
              </w:rPr>
            </w:pPr>
          </w:p>
        </w:tc>
        <w:tc>
          <w:tcPr>
            <w:tcW w:w="4826" w:type="dxa"/>
            <w:shd w:val="clear" w:color="auto" w:fill="auto"/>
            <w:tcMar>
              <w:top w:w="0" w:type="dxa"/>
              <w:bottom w:w="0" w:type="dxa"/>
            </w:tcMar>
            <w:vAlign w:val="center"/>
          </w:tcPr>
          <w:p w14:paraId="42E8D5C4"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Value of dividend payment</w:t>
            </w:r>
          </w:p>
        </w:tc>
        <w:tc>
          <w:tcPr>
            <w:tcW w:w="1078" w:type="dxa"/>
            <w:shd w:val="clear" w:color="auto" w:fill="auto"/>
            <w:tcMar>
              <w:top w:w="0" w:type="dxa"/>
              <w:bottom w:w="0" w:type="dxa"/>
            </w:tcMar>
            <w:vAlign w:val="center"/>
          </w:tcPr>
          <w:p w14:paraId="795DA4AE"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1883974E"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24,000,000,000</w:t>
            </w:r>
          </w:p>
        </w:tc>
      </w:tr>
      <w:tr w:rsidR="002B056D" w14:paraId="1C592064" w14:textId="77777777">
        <w:tc>
          <w:tcPr>
            <w:tcW w:w="684" w:type="dxa"/>
            <w:shd w:val="clear" w:color="auto" w:fill="auto"/>
            <w:tcMar>
              <w:top w:w="0" w:type="dxa"/>
              <w:bottom w:w="0" w:type="dxa"/>
            </w:tcMar>
            <w:vAlign w:val="center"/>
          </w:tcPr>
          <w:p w14:paraId="24BF529C"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4826" w:type="dxa"/>
            <w:shd w:val="clear" w:color="auto" w:fill="auto"/>
            <w:tcMar>
              <w:top w:w="0" w:type="dxa"/>
              <w:bottom w:w="0" w:type="dxa"/>
            </w:tcMar>
            <w:vAlign w:val="center"/>
          </w:tcPr>
          <w:p w14:paraId="5AD0F513" w14:textId="77777777" w:rsidR="002B056D" w:rsidRDefault="00390D89">
            <w:pPr>
              <w:pBdr>
                <w:top w:val="nil"/>
                <w:left w:val="nil"/>
                <w:bottom w:val="nil"/>
                <w:right w:val="nil"/>
                <w:between w:val="nil"/>
              </w:pBdr>
              <w:spacing w:after="120" w:line="360" w:lineRule="auto"/>
              <w:ind w:left="147"/>
              <w:rPr>
                <w:rFonts w:ascii="Arial" w:eastAsia="Arial" w:hAnsi="Arial" w:cs="Arial"/>
                <w:color w:val="010000"/>
                <w:sz w:val="20"/>
                <w:szCs w:val="20"/>
              </w:rPr>
            </w:pPr>
            <w:r>
              <w:rPr>
                <w:rFonts w:ascii="Arial" w:hAnsi="Arial"/>
                <w:color w:val="010000"/>
                <w:sz w:val="20"/>
              </w:rPr>
              <w:t>Remaining profit after dividend payment</w:t>
            </w:r>
          </w:p>
        </w:tc>
        <w:tc>
          <w:tcPr>
            <w:tcW w:w="1078" w:type="dxa"/>
            <w:shd w:val="clear" w:color="auto" w:fill="auto"/>
            <w:tcMar>
              <w:top w:w="0" w:type="dxa"/>
              <w:bottom w:w="0" w:type="dxa"/>
            </w:tcMar>
            <w:vAlign w:val="center"/>
          </w:tcPr>
          <w:p w14:paraId="1D56C1E8"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2429" w:type="dxa"/>
            <w:shd w:val="clear" w:color="auto" w:fill="auto"/>
            <w:tcMar>
              <w:top w:w="0" w:type="dxa"/>
              <w:bottom w:w="0" w:type="dxa"/>
            </w:tcMar>
            <w:vAlign w:val="center"/>
          </w:tcPr>
          <w:p w14:paraId="24599941" w14:textId="77777777" w:rsidR="002B056D" w:rsidRDefault="00390D89">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3,095,934,743</w:t>
            </w:r>
          </w:p>
        </w:tc>
      </w:tr>
    </w:tbl>
    <w:p w14:paraId="223C64A3" w14:textId="77777777" w:rsidR="002B056D" w:rsidRDefault="00390D89" w:rsidP="006664D9">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salary/remuneration of the Board of Directors and the Supervisory Board in 2023 and the Plan for 2024.</w:t>
      </w:r>
    </w:p>
    <w:p w14:paraId="01ED7F8F"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Salary and remuneration of the Board of Directors and the Supervisory Board in 2023</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4557"/>
        <w:gridCol w:w="866"/>
        <w:gridCol w:w="1479"/>
        <w:gridCol w:w="1491"/>
      </w:tblGrid>
      <w:tr w:rsidR="002B056D" w14:paraId="71B0970E" w14:textId="77777777">
        <w:tc>
          <w:tcPr>
            <w:tcW w:w="624" w:type="dxa"/>
            <w:shd w:val="clear" w:color="auto" w:fill="auto"/>
            <w:tcMar>
              <w:top w:w="0" w:type="dxa"/>
              <w:bottom w:w="0" w:type="dxa"/>
            </w:tcMar>
            <w:vAlign w:val="center"/>
          </w:tcPr>
          <w:p w14:paraId="0F434939"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557" w:type="dxa"/>
            <w:shd w:val="clear" w:color="auto" w:fill="auto"/>
            <w:tcMar>
              <w:top w:w="0" w:type="dxa"/>
              <w:bottom w:w="0" w:type="dxa"/>
            </w:tcMar>
            <w:vAlign w:val="center"/>
          </w:tcPr>
          <w:p w14:paraId="235CD2FF"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866" w:type="dxa"/>
            <w:shd w:val="clear" w:color="auto" w:fill="auto"/>
            <w:tcMar>
              <w:top w:w="0" w:type="dxa"/>
              <w:bottom w:w="0" w:type="dxa"/>
            </w:tcMar>
            <w:vAlign w:val="center"/>
          </w:tcPr>
          <w:p w14:paraId="3B174F76"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Quantity</w:t>
            </w:r>
          </w:p>
        </w:tc>
        <w:tc>
          <w:tcPr>
            <w:tcW w:w="1479" w:type="dxa"/>
            <w:shd w:val="clear" w:color="auto" w:fill="auto"/>
            <w:tcMar>
              <w:top w:w="0" w:type="dxa"/>
              <w:bottom w:w="0" w:type="dxa"/>
            </w:tcMar>
            <w:vAlign w:val="center"/>
          </w:tcPr>
          <w:p w14:paraId="08503F02"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in 2023</w:t>
            </w:r>
          </w:p>
        </w:tc>
        <w:tc>
          <w:tcPr>
            <w:tcW w:w="1491" w:type="dxa"/>
            <w:shd w:val="clear" w:color="auto" w:fill="auto"/>
            <w:tcMar>
              <w:top w:w="0" w:type="dxa"/>
              <w:bottom w:w="0" w:type="dxa"/>
            </w:tcMar>
            <w:vAlign w:val="center"/>
          </w:tcPr>
          <w:p w14:paraId="098DDABD"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 in</w:t>
            </w:r>
          </w:p>
          <w:p w14:paraId="220D422E"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2023</w:t>
            </w:r>
          </w:p>
        </w:tc>
      </w:tr>
      <w:tr w:rsidR="002B056D" w14:paraId="45247EC5" w14:textId="77777777">
        <w:tc>
          <w:tcPr>
            <w:tcW w:w="624" w:type="dxa"/>
            <w:shd w:val="clear" w:color="auto" w:fill="auto"/>
            <w:tcMar>
              <w:top w:w="0" w:type="dxa"/>
              <w:bottom w:w="0" w:type="dxa"/>
            </w:tcMar>
            <w:vAlign w:val="center"/>
          </w:tcPr>
          <w:p w14:paraId="1E9FE4B5"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4557" w:type="dxa"/>
            <w:shd w:val="clear" w:color="auto" w:fill="auto"/>
            <w:tcMar>
              <w:top w:w="0" w:type="dxa"/>
              <w:bottom w:w="0" w:type="dxa"/>
            </w:tcMar>
            <w:vAlign w:val="center"/>
          </w:tcPr>
          <w:p w14:paraId="7715A787" w14:textId="77777777" w:rsidR="002B056D" w:rsidRDefault="00390D8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Remuneration for the Board of Directors and Supervisory Board:</w:t>
            </w:r>
          </w:p>
          <w:p w14:paraId="14C8D397" w14:textId="77777777" w:rsidR="002B056D" w:rsidRDefault="00390D89">
            <w:pPr>
              <w:numPr>
                <w:ilvl w:val="0"/>
                <w:numId w:val="3"/>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Average remuneration (VND/month)</w:t>
            </w:r>
          </w:p>
          <w:p w14:paraId="776A10E8" w14:textId="77777777" w:rsidR="002B056D" w:rsidRDefault="00390D89">
            <w:pPr>
              <w:numPr>
                <w:ilvl w:val="0"/>
                <w:numId w:val="3"/>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Pr>
                <w:rFonts w:ascii="Arial" w:hAnsi="Arial"/>
                <w:color w:val="010000"/>
                <w:sz w:val="20"/>
              </w:rPr>
              <w:t>Total annual remuneration fund (VND)</w:t>
            </w:r>
          </w:p>
        </w:tc>
        <w:tc>
          <w:tcPr>
            <w:tcW w:w="866" w:type="dxa"/>
            <w:shd w:val="clear" w:color="auto" w:fill="auto"/>
            <w:tcMar>
              <w:top w:w="0" w:type="dxa"/>
              <w:bottom w:w="0" w:type="dxa"/>
            </w:tcMar>
            <w:vAlign w:val="center"/>
          </w:tcPr>
          <w:p w14:paraId="3B17984E"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09</w:t>
            </w:r>
          </w:p>
        </w:tc>
        <w:tc>
          <w:tcPr>
            <w:tcW w:w="1479" w:type="dxa"/>
            <w:shd w:val="clear" w:color="auto" w:fill="auto"/>
            <w:tcMar>
              <w:top w:w="0" w:type="dxa"/>
              <w:bottom w:w="0" w:type="dxa"/>
            </w:tcMar>
            <w:vAlign w:val="center"/>
          </w:tcPr>
          <w:p w14:paraId="133AC447" w14:textId="77777777" w:rsidR="002B056D" w:rsidRDefault="00390D89">
            <w:pPr>
              <w:pBdr>
                <w:top w:val="nil"/>
                <w:left w:val="nil"/>
                <w:bottom w:val="nil"/>
                <w:right w:val="nil"/>
                <w:between w:val="nil"/>
              </w:pBdr>
              <w:spacing w:after="120" w:line="360" w:lineRule="auto"/>
              <w:ind w:right="227"/>
              <w:jc w:val="right"/>
              <w:rPr>
                <w:rFonts w:ascii="Arial" w:eastAsia="Arial" w:hAnsi="Arial" w:cs="Arial"/>
                <w:color w:val="010000"/>
                <w:sz w:val="20"/>
                <w:szCs w:val="20"/>
              </w:rPr>
            </w:pPr>
            <w:r>
              <w:rPr>
                <w:rFonts w:ascii="Arial" w:hAnsi="Arial"/>
                <w:color w:val="010000"/>
                <w:sz w:val="20"/>
              </w:rPr>
              <w:t>7,200,000</w:t>
            </w:r>
          </w:p>
          <w:p w14:paraId="50888666" w14:textId="77777777" w:rsidR="002B056D" w:rsidRDefault="00390D89">
            <w:pPr>
              <w:pBdr>
                <w:top w:val="nil"/>
                <w:left w:val="nil"/>
                <w:bottom w:val="nil"/>
                <w:right w:val="nil"/>
                <w:between w:val="nil"/>
              </w:pBdr>
              <w:spacing w:after="120" w:line="360" w:lineRule="auto"/>
              <w:ind w:right="227"/>
              <w:jc w:val="right"/>
              <w:rPr>
                <w:rFonts w:ascii="Arial" w:eastAsia="Arial" w:hAnsi="Arial" w:cs="Arial"/>
                <w:color w:val="010000"/>
                <w:sz w:val="20"/>
                <w:szCs w:val="20"/>
              </w:rPr>
            </w:pPr>
            <w:r>
              <w:rPr>
                <w:rFonts w:ascii="Arial" w:hAnsi="Arial"/>
                <w:color w:val="010000"/>
                <w:sz w:val="20"/>
              </w:rPr>
              <w:t>777,600,000</w:t>
            </w:r>
          </w:p>
        </w:tc>
        <w:tc>
          <w:tcPr>
            <w:tcW w:w="1491" w:type="dxa"/>
            <w:shd w:val="clear" w:color="auto" w:fill="auto"/>
            <w:tcMar>
              <w:top w:w="0" w:type="dxa"/>
              <w:bottom w:w="0" w:type="dxa"/>
            </w:tcMar>
            <w:vAlign w:val="center"/>
          </w:tcPr>
          <w:p w14:paraId="2098D026" w14:textId="77777777" w:rsidR="002B056D" w:rsidRDefault="00390D89">
            <w:pPr>
              <w:pBdr>
                <w:top w:val="nil"/>
                <w:left w:val="nil"/>
                <w:bottom w:val="nil"/>
                <w:right w:val="nil"/>
                <w:between w:val="nil"/>
              </w:pBdr>
              <w:spacing w:after="120" w:line="360" w:lineRule="auto"/>
              <w:ind w:right="227"/>
              <w:jc w:val="right"/>
              <w:rPr>
                <w:rFonts w:ascii="Arial" w:eastAsia="Arial" w:hAnsi="Arial" w:cs="Arial"/>
                <w:color w:val="010000"/>
                <w:sz w:val="20"/>
                <w:szCs w:val="20"/>
              </w:rPr>
            </w:pPr>
            <w:r>
              <w:rPr>
                <w:rFonts w:ascii="Arial" w:hAnsi="Arial"/>
                <w:color w:val="010000"/>
                <w:sz w:val="20"/>
              </w:rPr>
              <w:t>7,920,000</w:t>
            </w:r>
          </w:p>
          <w:p w14:paraId="2175F429" w14:textId="77777777" w:rsidR="002B056D" w:rsidRDefault="00390D89">
            <w:pPr>
              <w:pBdr>
                <w:top w:val="nil"/>
                <w:left w:val="nil"/>
                <w:bottom w:val="nil"/>
                <w:right w:val="nil"/>
                <w:between w:val="nil"/>
              </w:pBdr>
              <w:spacing w:after="120" w:line="360" w:lineRule="auto"/>
              <w:ind w:right="227"/>
              <w:jc w:val="right"/>
              <w:rPr>
                <w:rFonts w:ascii="Arial" w:eastAsia="Arial" w:hAnsi="Arial" w:cs="Arial"/>
                <w:color w:val="010000"/>
                <w:sz w:val="20"/>
                <w:szCs w:val="20"/>
              </w:rPr>
            </w:pPr>
            <w:r>
              <w:rPr>
                <w:rFonts w:ascii="Arial" w:hAnsi="Arial"/>
                <w:color w:val="010000"/>
                <w:sz w:val="20"/>
              </w:rPr>
              <w:t>855,360,000</w:t>
            </w:r>
          </w:p>
        </w:tc>
      </w:tr>
      <w:tr w:rsidR="002B056D" w14:paraId="027B9B27" w14:textId="77777777">
        <w:tc>
          <w:tcPr>
            <w:tcW w:w="624" w:type="dxa"/>
            <w:shd w:val="clear" w:color="auto" w:fill="auto"/>
            <w:tcMar>
              <w:top w:w="0" w:type="dxa"/>
              <w:bottom w:w="0" w:type="dxa"/>
            </w:tcMar>
            <w:vAlign w:val="center"/>
          </w:tcPr>
          <w:p w14:paraId="2420160C"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02</w:t>
            </w:r>
          </w:p>
        </w:tc>
        <w:tc>
          <w:tcPr>
            <w:tcW w:w="4557" w:type="dxa"/>
            <w:shd w:val="clear" w:color="auto" w:fill="auto"/>
            <w:tcMar>
              <w:top w:w="0" w:type="dxa"/>
              <w:bottom w:w="0" w:type="dxa"/>
            </w:tcMar>
            <w:vAlign w:val="center"/>
          </w:tcPr>
          <w:p w14:paraId="7DFA92F6" w14:textId="77777777" w:rsidR="002B056D" w:rsidRDefault="00390D8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Salary of the executive Chief of the Supervisory Board:</w:t>
            </w:r>
          </w:p>
          <w:p w14:paraId="10E4E7F3" w14:textId="77777777" w:rsidR="002B056D" w:rsidRDefault="00390D89">
            <w:pPr>
              <w:numPr>
                <w:ilvl w:val="0"/>
                <w:numId w:val="3"/>
              </w:numPr>
              <w:pBdr>
                <w:top w:val="nil"/>
                <w:left w:val="nil"/>
                <w:bottom w:val="nil"/>
                <w:right w:val="nil"/>
                <w:between w:val="nil"/>
              </w:pBdr>
              <w:tabs>
                <w:tab w:val="left" w:pos="270"/>
              </w:tabs>
              <w:spacing w:after="120" w:line="360" w:lineRule="auto"/>
              <w:rPr>
                <w:color w:val="010000"/>
              </w:rPr>
            </w:pPr>
            <w:r>
              <w:rPr>
                <w:rFonts w:ascii="Arial" w:hAnsi="Arial"/>
                <w:color w:val="010000"/>
                <w:sz w:val="20"/>
              </w:rPr>
              <w:t>Monthly salary (VND/month)</w:t>
            </w:r>
          </w:p>
          <w:p w14:paraId="38A2FD11" w14:textId="77777777" w:rsidR="002B056D" w:rsidRDefault="00390D89">
            <w:pPr>
              <w:numPr>
                <w:ilvl w:val="0"/>
                <w:numId w:val="3"/>
              </w:numPr>
              <w:pBdr>
                <w:top w:val="nil"/>
                <w:left w:val="nil"/>
                <w:bottom w:val="nil"/>
                <w:right w:val="nil"/>
                <w:between w:val="nil"/>
              </w:pBdr>
              <w:tabs>
                <w:tab w:val="left" w:pos="270"/>
              </w:tabs>
              <w:spacing w:after="120" w:line="360" w:lineRule="auto"/>
              <w:rPr>
                <w:color w:val="010000"/>
              </w:rPr>
            </w:pPr>
            <w:r>
              <w:rPr>
                <w:rFonts w:ascii="Arial" w:hAnsi="Arial"/>
                <w:color w:val="010000"/>
                <w:sz w:val="20"/>
              </w:rPr>
              <w:t>Total annual salary fund (VND)</w:t>
            </w:r>
          </w:p>
        </w:tc>
        <w:tc>
          <w:tcPr>
            <w:tcW w:w="866" w:type="dxa"/>
            <w:shd w:val="clear" w:color="auto" w:fill="auto"/>
            <w:tcMar>
              <w:top w:w="0" w:type="dxa"/>
              <w:bottom w:w="0" w:type="dxa"/>
            </w:tcMar>
            <w:vAlign w:val="center"/>
          </w:tcPr>
          <w:p w14:paraId="5FD339F5" w14:textId="77777777" w:rsidR="002B056D" w:rsidRDefault="00390D8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479" w:type="dxa"/>
            <w:shd w:val="clear" w:color="auto" w:fill="auto"/>
            <w:tcMar>
              <w:top w:w="0" w:type="dxa"/>
              <w:bottom w:w="0" w:type="dxa"/>
            </w:tcMar>
            <w:vAlign w:val="center"/>
          </w:tcPr>
          <w:p w14:paraId="45636277" w14:textId="77777777" w:rsidR="002B056D" w:rsidRDefault="00390D89">
            <w:pPr>
              <w:pBdr>
                <w:top w:val="nil"/>
                <w:left w:val="nil"/>
                <w:bottom w:val="nil"/>
                <w:right w:val="nil"/>
                <w:between w:val="nil"/>
              </w:pBdr>
              <w:spacing w:after="120" w:line="360" w:lineRule="auto"/>
              <w:ind w:right="227"/>
              <w:jc w:val="right"/>
              <w:rPr>
                <w:rFonts w:ascii="Arial" w:eastAsia="Arial" w:hAnsi="Arial" w:cs="Arial"/>
                <w:color w:val="010000"/>
                <w:sz w:val="20"/>
                <w:szCs w:val="20"/>
              </w:rPr>
            </w:pPr>
            <w:r>
              <w:rPr>
                <w:rFonts w:ascii="Arial" w:hAnsi="Arial"/>
                <w:color w:val="010000"/>
                <w:sz w:val="20"/>
              </w:rPr>
              <w:t>30,000,000</w:t>
            </w:r>
          </w:p>
          <w:p w14:paraId="10C54FBE" w14:textId="77777777" w:rsidR="002B056D" w:rsidRDefault="00390D89">
            <w:pPr>
              <w:pBdr>
                <w:top w:val="nil"/>
                <w:left w:val="nil"/>
                <w:bottom w:val="nil"/>
                <w:right w:val="nil"/>
                <w:between w:val="nil"/>
              </w:pBdr>
              <w:spacing w:after="120" w:line="360" w:lineRule="auto"/>
              <w:ind w:right="227"/>
              <w:jc w:val="right"/>
              <w:rPr>
                <w:rFonts w:ascii="Arial" w:eastAsia="Arial" w:hAnsi="Arial" w:cs="Arial"/>
                <w:color w:val="010000"/>
                <w:sz w:val="20"/>
                <w:szCs w:val="20"/>
              </w:rPr>
            </w:pPr>
            <w:r>
              <w:rPr>
                <w:rFonts w:ascii="Arial" w:hAnsi="Arial"/>
                <w:color w:val="010000"/>
                <w:sz w:val="20"/>
              </w:rPr>
              <w:t>360,000,000</w:t>
            </w:r>
          </w:p>
        </w:tc>
        <w:tc>
          <w:tcPr>
            <w:tcW w:w="1491" w:type="dxa"/>
            <w:shd w:val="clear" w:color="auto" w:fill="auto"/>
            <w:tcMar>
              <w:top w:w="0" w:type="dxa"/>
              <w:bottom w:w="0" w:type="dxa"/>
            </w:tcMar>
            <w:vAlign w:val="center"/>
          </w:tcPr>
          <w:p w14:paraId="7C90DDB3" w14:textId="77777777" w:rsidR="002B056D" w:rsidRDefault="00390D89">
            <w:pPr>
              <w:pBdr>
                <w:top w:val="nil"/>
                <w:left w:val="nil"/>
                <w:bottom w:val="nil"/>
                <w:right w:val="nil"/>
                <w:between w:val="nil"/>
              </w:pBdr>
              <w:spacing w:after="120" w:line="360" w:lineRule="auto"/>
              <w:ind w:right="227"/>
              <w:jc w:val="right"/>
              <w:rPr>
                <w:rFonts w:ascii="Arial" w:eastAsia="Arial" w:hAnsi="Arial" w:cs="Arial"/>
                <w:color w:val="010000"/>
                <w:sz w:val="20"/>
                <w:szCs w:val="20"/>
              </w:rPr>
            </w:pPr>
            <w:r>
              <w:rPr>
                <w:rFonts w:ascii="Arial" w:hAnsi="Arial"/>
                <w:color w:val="010000"/>
                <w:sz w:val="20"/>
              </w:rPr>
              <w:t>33,000,000</w:t>
            </w:r>
          </w:p>
          <w:p w14:paraId="5C960646" w14:textId="77777777" w:rsidR="002B056D" w:rsidRDefault="00390D89">
            <w:pPr>
              <w:pBdr>
                <w:top w:val="nil"/>
                <w:left w:val="nil"/>
                <w:bottom w:val="nil"/>
                <w:right w:val="nil"/>
                <w:between w:val="nil"/>
              </w:pBdr>
              <w:spacing w:after="120" w:line="360" w:lineRule="auto"/>
              <w:ind w:right="227"/>
              <w:jc w:val="right"/>
              <w:rPr>
                <w:rFonts w:ascii="Arial" w:eastAsia="Arial" w:hAnsi="Arial" w:cs="Arial"/>
                <w:color w:val="010000"/>
                <w:sz w:val="20"/>
                <w:szCs w:val="20"/>
              </w:rPr>
            </w:pPr>
            <w:r>
              <w:rPr>
                <w:rFonts w:ascii="Arial" w:hAnsi="Arial"/>
                <w:color w:val="010000"/>
                <w:sz w:val="20"/>
              </w:rPr>
              <w:t>396,000,000</w:t>
            </w:r>
          </w:p>
        </w:tc>
      </w:tr>
    </w:tbl>
    <w:p w14:paraId="5AFBD3F9"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r>
        <w:rPr>
          <w:rFonts w:ascii="Arial" w:hAnsi="Arial"/>
          <w:color w:val="010000"/>
          <w:sz w:val="20"/>
        </w:rPr>
        <w:t>Plan for advance payment and payment of salaries and remuneration for the Board of Directors and the Supervisory Board in 2024:</w:t>
      </w:r>
    </w:p>
    <w:tbl>
      <w:tblPr>
        <w:tblStyle w:val="a4"/>
        <w:tblW w:w="9017" w:type="dxa"/>
        <w:tblBorders>
          <w:top w:val="nil"/>
          <w:left w:val="nil"/>
          <w:bottom w:val="nil"/>
          <w:right w:val="nil"/>
          <w:insideH w:val="nil"/>
          <w:insideV w:val="nil"/>
        </w:tblBorders>
        <w:tblLayout w:type="fixed"/>
        <w:tblLook w:val="0400" w:firstRow="0" w:lastRow="0" w:firstColumn="0" w:lastColumn="0" w:noHBand="0" w:noVBand="1"/>
      </w:tblPr>
      <w:tblGrid>
        <w:gridCol w:w="5240"/>
        <w:gridCol w:w="3777"/>
      </w:tblGrid>
      <w:tr w:rsidR="002B056D" w14:paraId="2FD2FF13" w14:textId="77777777">
        <w:tc>
          <w:tcPr>
            <w:tcW w:w="5240" w:type="dxa"/>
          </w:tcPr>
          <w:p w14:paraId="09FFE921" w14:textId="77777777" w:rsidR="002B056D" w:rsidRDefault="00390D89" w:rsidP="006664D9">
            <w:pPr>
              <w:numPr>
                <w:ilvl w:val="0"/>
                <w:numId w:val="4"/>
              </w:numPr>
              <w:pBdr>
                <w:top w:val="nil"/>
                <w:left w:val="nil"/>
                <w:bottom w:val="nil"/>
                <w:right w:val="nil"/>
                <w:between w:val="nil"/>
              </w:pBdr>
              <w:tabs>
                <w:tab w:val="left" w:pos="306"/>
              </w:tabs>
              <w:spacing w:after="120" w:line="360" w:lineRule="auto"/>
              <w:jc w:val="both"/>
              <w:rPr>
                <w:color w:val="010000"/>
              </w:rPr>
            </w:pPr>
            <w:r>
              <w:rPr>
                <w:rFonts w:ascii="Arial" w:hAnsi="Arial"/>
                <w:color w:val="010000"/>
                <w:sz w:val="20"/>
              </w:rPr>
              <w:t>Remuneration of the Chair of the Board of Directors</w:t>
            </w:r>
          </w:p>
        </w:tc>
        <w:tc>
          <w:tcPr>
            <w:tcW w:w="3777" w:type="dxa"/>
          </w:tcPr>
          <w:p w14:paraId="399F5029"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VND 8,000,000/person/month</w:t>
            </w:r>
          </w:p>
        </w:tc>
      </w:tr>
      <w:tr w:rsidR="002B056D" w14:paraId="6C75EAE4" w14:textId="77777777">
        <w:tc>
          <w:tcPr>
            <w:tcW w:w="5240" w:type="dxa"/>
          </w:tcPr>
          <w:p w14:paraId="4C904EFF" w14:textId="77777777" w:rsidR="002B056D" w:rsidRDefault="00390D89" w:rsidP="006664D9">
            <w:pPr>
              <w:numPr>
                <w:ilvl w:val="0"/>
                <w:numId w:val="4"/>
              </w:numPr>
              <w:pBdr>
                <w:top w:val="nil"/>
                <w:left w:val="nil"/>
                <w:bottom w:val="nil"/>
                <w:right w:val="nil"/>
                <w:between w:val="nil"/>
              </w:pBdr>
              <w:tabs>
                <w:tab w:val="left" w:pos="306"/>
              </w:tabs>
              <w:spacing w:after="120" w:line="360" w:lineRule="auto"/>
              <w:jc w:val="both"/>
              <w:rPr>
                <w:color w:val="010000"/>
              </w:rPr>
            </w:pPr>
            <w:r>
              <w:rPr>
                <w:rFonts w:ascii="Arial" w:hAnsi="Arial"/>
                <w:color w:val="010000"/>
                <w:sz w:val="20"/>
              </w:rPr>
              <w:lastRenderedPageBreak/>
              <w:t>Remuneration for members of the Board of Directors (6 people)</w:t>
            </w:r>
          </w:p>
        </w:tc>
        <w:tc>
          <w:tcPr>
            <w:tcW w:w="3777" w:type="dxa"/>
          </w:tcPr>
          <w:p w14:paraId="57337755"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VND 6,000,000/person/month;</w:t>
            </w:r>
          </w:p>
        </w:tc>
      </w:tr>
      <w:tr w:rsidR="002B056D" w14:paraId="4F291811" w14:textId="77777777">
        <w:tc>
          <w:tcPr>
            <w:tcW w:w="5240" w:type="dxa"/>
          </w:tcPr>
          <w:p w14:paraId="02C12611" w14:textId="77777777" w:rsidR="002B056D" w:rsidRDefault="00390D89" w:rsidP="006664D9">
            <w:pPr>
              <w:numPr>
                <w:ilvl w:val="0"/>
                <w:numId w:val="1"/>
              </w:numPr>
              <w:pBdr>
                <w:top w:val="nil"/>
                <w:left w:val="nil"/>
                <w:bottom w:val="nil"/>
                <w:right w:val="nil"/>
                <w:between w:val="nil"/>
              </w:pBdr>
              <w:tabs>
                <w:tab w:val="left" w:pos="306"/>
              </w:tabs>
              <w:spacing w:after="120" w:line="360" w:lineRule="auto"/>
              <w:jc w:val="both"/>
              <w:rPr>
                <w:rFonts w:ascii="Arial" w:eastAsia="Arial" w:hAnsi="Arial" w:cs="Arial"/>
                <w:color w:val="010000"/>
                <w:sz w:val="20"/>
                <w:szCs w:val="20"/>
              </w:rPr>
            </w:pPr>
            <w:r>
              <w:rPr>
                <w:rFonts w:ascii="Arial" w:hAnsi="Arial"/>
                <w:color w:val="010000"/>
                <w:sz w:val="20"/>
              </w:rPr>
              <w:t>Salary for the executive Chief of the Supervisory Board:</w:t>
            </w:r>
          </w:p>
        </w:tc>
        <w:tc>
          <w:tcPr>
            <w:tcW w:w="3777" w:type="dxa"/>
          </w:tcPr>
          <w:p w14:paraId="46DE09C1"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VND 30,000,000/person/month</w:t>
            </w:r>
          </w:p>
        </w:tc>
      </w:tr>
      <w:tr w:rsidR="002B056D" w14:paraId="6940E25B" w14:textId="77777777">
        <w:tc>
          <w:tcPr>
            <w:tcW w:w="5240" w:type="dxa"/>
          </w:tcPr>
          <w:p w14:paraId="768D24AE" w14:textId="77777777" w:rsidR="002B056D" w:rsidRDefault="00390D89" w:rsidP="006664D9">
            <w:pPr>
              <w:numPr>
                <w:ilvl w:val="0"/>
                <w:numId w:val="1"/>
              </w:numPr>
              <w:pBdr>
                <w:top w:val="nil"/>
                <w:left w:val="nil"/>
                <w:bottom w:val="nil"/>
                <w:right w:val="nil"/>
                <w:between w:val="nil"/>
              </w:pBdr>
              <w:tabs>
                <w:tab w:val="left" w:pos="306"/>
              </w:tabs>
              <w:spacing w:after="120" w:line="360" w:lineRule="auto"/>
              <w:jc w:val="both"/>
              <w:rPr>
                <w:rFonts w:ascii="Arial" w:eastAsia="Arial" w:hAnsi="Arial" w:cs="Arial"/>
                <w:color w:val="010000"/>
                <w:sz w:val="20"/>
                <w:szCs w:val="20"/>
              </w:rPr>
            </w:pPr>
            <w:r>
              <w:rPr>
                <w:rFonts w:ascii="Arial" w:hAnsi="Arial"/>
                <w:color w:val="010000"/>
                <w:sz w:val="20"/>
              </w:rPr>
              <w:t>Remuneration for members of the Supervisory Board (2 people)</w:t>
            </w:r>
          </w:p>
        </w:tc>
        <w:tc>
          <w:tcPr>
            <w:tcW w:w="3777" w:type="dxa"/>
          </w:tcPr>
          <w:p w14:paraId="1FC5259E"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VND 3,000,000/person/month;</w:t>
            </w:r>
          </w:p>
        </w:tc>
      </w:tr>
    </w:tbl>
    <w:p w14:paraId="7938B398"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to make advance payments and finalize the actual salary fund for employees, the salary fund for executive managers, and the remuneration fund for non-executive managers based on the production and business results in 2024, in accordance with the provisions of Circular 28/2016/TT-BLDTBXH dated September 1, 2016.</w:t>
      </w:r>
    </w:p>
    <w:p w14:paraId="0F4EB5B3" w14:textId="77777777" w:rsidR="002B056D" w:rsidRDefault="00390D89" w:rsidP="006664D9">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Report on the supervision of production and business activities in 2023 at </w:t>
      </w:r>
      <w:proofErr w:type="spellStart"/>
      <w:r>
        <w:rPr>
          <w:rFonts w:ascii="Arial" w:hAnsi="Arial"/>
          <w:color w:val="010000"/>
          <w:sz w:val="20"/>
        </w:rPr>
        <w:t>Sonadezi</w:t>
      </w:r>
      <w:proofErr w:type="spellEnd"/>
      <w:r>
        <w:rPr>
          <w:rFonts w:ascii="Arial" w:hAnsi="Arial"/>
          <w:color w:val="010000"/>
          <w:sz w:val="20"/>
        </w:rPr>
        <w:t xml:space="preserve"> Environment Joint Stock Company.</w:t>
      </w:r>
    </w:p>
    <w:p w14:paraId="599D41A8" w14:textId="77777777" w:rsidR="002B056D" w:rsidRDefault="00390D89" w:rsidP="006664D9">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Approve the Proposal of the Supervisory Board on the selection of an audit company for the Financial Statements 2024.</w:t>
      </w:r>
    </w:p>
    <w:p w14:paraId="00ECBBA0"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select one of the following audit companies to perform the audit of the Financial Statements 2024:</w:t>
      </w:r>
    </w:p>
    <w:p w14:paraId="14E6AAB1" w14:textId="77777777" w:rsidR="002B056D" w:rsidRDefault="00390D89" w:rsidP="006664D9">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702EF94D" w14:textId="77777777" w:rsidR="002B056D" w:rsidRDefault="00390D89" w:rsidP="006664D9">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RSM Vietnam Auditing &amp; Consulting Limited.</w:t>
      </w:r>
    </w:p>
    <w:p w14:paraId="551F02BC" w14:textId="77777777" w:rsidR="002B056D" w:rsidRDefault="00390D89" w:rsidP="006664D9">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VACO Auditing Company Limited;</w:t>
      </w:r>
    </w:p>
    <w:p w14:paraId="21B8BCFE"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The Annual General Meeting of Shareholders 2024 assigns the Board of Directors and the Supervisory Board to be responsible for monitoring and directing the Executive Board to properly implement this General Mandate.</w:t>
      </w:r>
    </w:p>
    <w:p w14:paraId="473715D1" w14:textId="77777777" w:rsidR="002B056D" w:rsidRDefault="00390D89" w:rsidP="006664D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 xml:space="preserve">‎‎Article 3. The General Mandate of the Annual General Meeting of Shareholders 2024 of </w:t>
      </w:r>
      <w:proofErr w:type="spellStart"/>
      <w:r>
        <w:rPr>
          <w:rFonts w:ascii="Arial" w:hAnsi="Arial"/>
          <w:color w:val="010000"/>
          <w:sz w:val="20"/>
        </w:rPr>
        <w:t>Sonadezi</w:t>
      </w:r>
      <w:proofErr w:type="spellEnd"/>
      <w:r>
        <w:rPr>
          <w:rFonts w:ascii="Arial" w:hAnsi="Arial"/>
          <w:color w:val="010000"/>
          <w:sz w:val="20"/>
        </w:rPr>
        <w:t xml:space="preserve"> Environment Joint Stock Company was approved by all attending shareholders and takes effect from April 16, 2024.</w:t>
      </w:r>
      <w:bookmarkEnd w:id="0"/>
    </w:p>
    <w:sectPr w:rsidR="002B056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217"/>
    <w:multiLevelType w:val="multilevel"/>
    <w:tmpl w:val="01A2209C"/>
    <w:lvl w:ilvl="0">
      <w:start w:val="1"/>
      <w:numFmt w:val="bullet"/>
      <w:lvlText w:val="-"/>
      <w:lvlJc w:val="left"/>
      <w:pPr>
        <w:ind w:left="0" w:firstLine="141"/>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885F89"/>
    <w:multiLevelType w:val="multilevel"/>
    <w:tmpl w:val="A44ED9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8933AF6"/>
    <w:multiLevelType w:val="multilevel"/>
    <w:tmpl w:val="461E3B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5177A2C"/>
    <w:multiLevelType w:val="multilevel"/>
    <w:tmpl w:val="9B9E61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6D"/>
    <w:rsid w:val="002B056D"/>
    <w:rsid w:val="00390D89"/>
    <w:rsid w:val="00666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left="1900"/>
      <w:outlineLvl w:val="0"/>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257" w:lineRule="auto"/>
      <w:ind w:firstLine="530"/>
    </w:pPr>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700"/>
    </w:pPr>
    <w:rPr>
      <w:rFonts w:ascii="Times New Roman" w:eastAsia="Times New Roman" w:hAnsi="Times New Roman" w:cs="Times New Roman"/>
      <w:sz w:val="20"/>
      <w:szCs w:val="20"/>
    </w:rPr>
  </w:style>
  <w:style w:type="table" w:styleId="TableGrid">
    <w:name w:val="Table Grid"/>
    <w:basedOn w:val="TableNormal"/>
    <w:uiPriority w:val="39"/>
    <w:rsid w:val="00824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left="1900"/>
      <w:outlineLvl w:val="0"/>
    </w:pPr>
    <w:rPr>
      <w:rFonts w:ascii="Times New Roman" w:eastAsia="Times New Roman" w:hAnsi="Times New Roman" w:cs="Times New Roman"/>
      <w:b/>
      <w:bCs/>
      <w:sz w:val="28"/>
      <w:szCs w:val="28"/>
    </w:rPr>
  </w:style>
  <w:style w:type="paragraph" w:customStyle="1" w:styleId="Chthchbng0">
    <w:name w:val="Chú thích bảng"/>
    <w:basedOn w:val="Normal"/>
    <w:link w:val="Chthchbng"/>
    <w:pPr>
      <w:spacing w:line="257" w:lineRule="auto"/>
      <w:ind w:firstLine="530"/>
    </w:pPr>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700"/>
    </w:pPr>
    <w:rPr>
      <w:rFonts w:ascii="Times New Roman" w:eastAsia="Times New Roman" w:hAnsi="Times New Roman" w:cs="Times New Roman"/>
      <w:sz w:val="20"/>
      <w:szCs w:val="20"/>
    </w:rPr>
  </w:style>
  <w:style w:type="table" w:styleId="TableGrid">
    <w:name w:val="Table Grid"/>
    <w:basedOn w:val="TableNormal"/>
    <w:uiPriority w:val="39"/>
    <w:rsid w:val="00824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frF21ufSH4KKItVzHMomd9w6pA==">CgMxLjAyCGguZ2pkZ3hzOAByITE4dUNnSm5xV3kwNzgwbzVDOUEzNGRhNHNkazkyclhkeg==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2024-04-22T02:02:00Z</dcterms:created>
  <dcterms:modified xsi:type="dcterms:W3CDTF">2024-04-23T10:00:00Z</dcterms:modified>
</cp:coreProperties>
</file>