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2C4C" w:rsidRPr="0085520B" w:rsidRDefault="0085520B" w:rsidP="008552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5520B">
        <w:rPr>
          <w:rFonts w:ascii="Arial" w:hAnsi="Arial" w:cs="Arial"/>
          <w:b/>
          <w:color w:val="010000"/>
          <w:sz w:val="20"/>
        </w:rPr>
        <w:t>TCK</w:t>
      </w:r>
      <w:r w:rsidRPr="0085520B">
        <w:rPr>
          <w:rFonts w:ascii="Arial" w:hAnsi="Arial" w:cs="Arial"/>
          <w:b/>
          <w:color w:val="010000"/>
          <w:sz w:val="20"/>
        </w:rPr>
        <w:t>:</w:t>
      </w:r>
      <w:r w:rsidRPr="0085520B">
        <w:rPr>
          <w:rFonts w:ascii="Arial" w:hAnsi="Arial" w:cs="Arial"/>
          <w:b/>
          <w:color w:val="010000"/>
          <w:sz w:val="20"/>
        </w:rPr>
        <w:t xml:space="preserve"> Explanation and the plan to overcome the restricted trading situation</w:t>
      </w:r>
    </w:p>
    <w:p w14:paraId="00000002" w14:textId="77777777" w:rsidR="00282C4C" w:rsidRPr="0085520B" w:rsidRDefault="0085520B" w:rsidP="008552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520B">
        <w:rPr>
          <w:rFonts w:ascii="Arial" w:hAnsi="Arial" w:cs="Arial"/>
          <w:color w:val="010000"/>
          <w:sz w:val="20"/>
        </w:rPr>
        <w:t xml:space="preserve">On </w:t>
      </w:r>
      <w:r w:rsidRPr="0085520B">
        <w:rPr>
          <w:rFonts w:ascii="Arial" w:hAnsi="Arial" w:cs="Arial"/>
          <w:color w:val="010000"/>
          <w:sz w:val="20"/>
        </w:rPr>
        <w:t>April</w:t>
      </w:r>
      <w:r w:rsidRPr="0085520B">
        <w:rPr>
          <w:rFonts w:ascii="Arial" w:hAnsi="Arial" w:cs="Arial"/>
          <w:color w:val="010000"/>
          <w:sz w:val="20"/>
        </w:rPr>
        <w:t xml:space="preserve"> </w:t>
      </w:r>
      <w:r w:rsidRPr="0085520B">
        <w:rPr>
          <w:rFonts w:ascii="Arial" w:hAnsi="Arial" w:cs="Arial"/>
          <w:color w:val="010000"/>
          <w:sz w:val="20"/>
        </w:rPr>
        <w:t>19</w:t>
      </w:r>
      <w:r w:rsidRPr="0085520B">
        <w:rPr>
          <w:rFonts w:ascii="Arial" w:hAnsi="Arial" w:cs="Arial"/>
          <w:color w:val="010000"/>
          <w:sz w:val="20"/>
        </w:rPr>
        <w:t xml:space="preserve">, </w:t>
      </w:r>
      <w:r w:rsidRPr="0085520B">
        <w:rPr>
          <w:rFonts w:ascii="Arial" w:hAnsi="Arial" w:cs="Arial"/>
          <w:color w:val="010000"/>
          <w:sz w:val="20"/>
        </w:rPr>
        <w:t>2024</w:t>
      </w:r>
      <w:r w:rsidRPr="0085520B">
        <w:rPr>
          <w:rFonts w:ascii="Arial" w:hAnsi="Arial" w:cs="Arial"/>
          <w:color w:val="010000"/>
          <w:sz w:val="20"/>
        </w:rPr>
        <w:t xml:space="preserve">, Construction Machinery Corporation - JSC announced Official Dispatch No. </w:t>
      </w:r>
      <w:r w:rsidRPr="0085520B">
        <w:rPr>
          <w:rFonts w:ascii="Arial" w:hAnsi="Arial" w:cs="Arial"/>
          <w:color w:val="010000"/>
          <w:sz w:val="20"/>
        </w:rPr>
        <w:t>125</w:t>
      </w:r>
      <w:r w:rsidRPr="0085520B">
        <w:rPr>
          <w:rFonts w:ascii="Arial" w:hAnsi="Arial" w:cs="Arial"/>
          <w:color w:val="010000"/>
          <w:sz w:val="20"/>
        </w:rPr>
        <w:t>/COMA-TCKT explaining the causes and measures to address the restricted trading situation as follows</w:t>
      </w:r>
      <w:r w:rsidRPr="0085520B">
        <w:rPr>
          <w:rFonts w:ascii="Arial" w:hAnsi="Arial" w:cs="Arial"/>
          <w:color w:val="010000"/>
          <w:sz w:val="20"/>
        </w:rPr>
        <w:t>:</w:t>
      </w:r>
    </w:p>
    <w:p w14:paraId="00000003" w14:textId="6C2ADCA7" w:rsidR="00282C4C" w:rsidRPr="0085520B" w:rsidRDefault="0085520B" w:rsidP="00855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520B">
        <w:rPr>
          <w:rFonts w:ascii="Arial" w:hAnsi="Arial" w:cs="Arial"/>
          <w:color w:val="010000"/>
          <w:sz w:val="20"/>
        </w:rPr>
        <w:t>Construction Machinery Corporation - JSC would like to expl</w:t>
      </w:r>
      <w:r w:rsidRPr="0085520B">
        <w:rPr>
          <w:rFonts w:ascii="Arial" w:hAnsi="Arial" w:cs="Arial"/>
          <w:color w:val="010000"/>
          <w:sz w:val="20"/>
        </w:rPr>
        <w:t>ain the reasons for the negative owners' equity in the Audited Financial Statements</w:t>
      </w:r>
      <w:r w:rsidRPr="0085520B">
        <w:rPr>
          <w:rFonts w:ascii="Arial" w:hAnsi="Arial" w:cs="Arial"/>
          <w:color w:val="010000"/>
          <w:sz w:val="20"/>
        </w:rPr>
        <w:t xml:space="preserve"> </w:t>
      </w:r>
      <w:r w:rsidRPr="0085520B">
        <w:rPr>
          <w:rFonts w:ascii="Arial" w:hAnsi="Arial" w:cs="Arial"/>
          <w:color w:val="010000"/>
          <w:sz w:val="20"/>
        </w:rPr>
        <w:t>2023</w:t>
      </w:r>
      <w:r w:rsidRPr="0085520B">
        <w:rPr>
          <w:rFonts w:ascii="Arial" w:hAnsi="Arial" w:cs="Arial"/>
          <w:color w:val="010000"/>
          <w:sz w:val="20"/>
        </w:rPr>
        <w:t xml:space="preserve"> and the auditor's qualified opinion for more than three consecutive years, as follows</w:t>
      </w:r>
      <w:r w:rsidRPr="0085520B">
        <w:rPr>
          <w:rFonts w:ascii="Arial" w:hAnsi="Arial" w:cs="Arial"/>
          <w:color w:val="010000"/>
          <w:sz w:val="20"/>
        </w:rPr>
        <w:t>:</w:t>
      </w:r>
    </w:p>
    <w:p w14:paraId="00000004" w14:textId="428D86F0" w:rsidR="00282C4C" w:rsidRPr="0085520B" w:rsidRDefault="0085520B" w:rsidP="00855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85520B">
        <w:rPr>
          <w:rFonts w:ascii="Arial" w:hAnsi="Arial" w:cs="Arial"/>
          <w:color w:val="010000"/>
          <w:sz w:val="20"/>
        </w:rPr>
        <w:t>The main business line of the company is mechanical processing and steel structu</w:t>
      </w:r>
      <w:r w:rsidRPr="0085520B">
        <w:rPr>
          <w:rFonts w:ascii="Arial" w:hAnsi="Arial" w:cs="Arial"/>
          <w:color w:val="010000"/>
          <w:sz w:val="20"/>
        </w:rPr>
        <w:t>re installation. In such a field, finding employment is currently challenging due to high competition in the market. Low job opportunities and low revenue lead to low profit-to-revenue rate</w:t>
      </w:r>
      <w:r w:rsidRPr="0085520B">
        <w:rPr>
          <w:rFonts w:ascii="Arial" w:hAnsi="Arial" w:cs="Arial"/>
          <w:color w:val="010000"/>
          <w:sz w:val="20"/>
        </w:rPr>
        <w:t>.</w:t>
      </w:r>
    </w:p>
    <w:p w14:paraId="00000005" w14:textId="77777777" w:rsidR="00282C4C" w:rsidRPr="0085520B" w:rsidRDefault="0085520B" w:rsidP="00855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520B">
        <w:rPr>
          <w:rFonts w:ascii="Arial" w:hAnsi="Arial" w:cs="Arial"/>
          <w:color w:val="010000"/>
          <w:sz w:val="20"/>
        </w:rPr>
        <w:t>Some projects, which were constructed using state budget capita</w:t>
      </w:r>
      <w:r w:rsidRPr="0085520B">
        <w:rPr>
          <w:rFonts w:ascii="Arial" w:hAnsi="Arial" w:cs="Arial"/>
          <w:color w:val="010000"/>
          <w:sz w:val="20"/>
        </w:rPr>
        <w:t>l, have been completed for a long time but have not been settled with the investors. As a result, the company has been unable to recover the debts, leading to delayed tax payments.</w:t>
      </w:r>
    </w:p>
    <w:p w14:paraId="00000006" w14:textId="77777777" w:rsidR="00282C4C" w:rsidRPr="0085520B" w:rsidRDefault="0085520B" w:rsidP="00855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520B">
        <w:rPr>
          <w:rFonts w:ascii="Arial" w:hAnsi="Arial" w:cs="Arial"/>
          <w:color w:val="010000"/>
          <w:sz w:val="20"/>
        </w:rPr>
        <w:t xml:space="preserve">At the end of the fiscal year, on </w:t>
      </w:r>
      <w:r w:rsidRPr="0085520B">
        <w:rPr>
          <w:rFonts w:ascii="Arial" w:hAnsi="Arial" w:cs="Arial"/>
          <w:color w:val="010000"/>
          <w:sz w:val="20"/>
        </w:rPr>
        <w:t>December</w:t>
      </w:r>
      <w:r w:rsidRPr="0085520B">
        <w:rPr>
          <w:rFonts w:ascii="Arial" w:hAnsi="Arial" w:cs="Arial"/>
          <w:color w:val="010000"/>
          <w:sz w:val="20"/>
        </w:rPr>
        <w:t xml:space="preserve"> </w:t>
      </w:r>
      <w:r w:rsidRPr="0085520B">
        <w:rPr>
          <w:rFonts w:ascii="Arial" w:hAnsi="Arial" w:cs="Arial"/>
          <w:color w:val="010000"/>
          <w:sz w:val="20"/>
        </w:rPr>
        <w:t>31</w:t>
      </w:r>
      <w:r w:rsidRPr="0085520B">
        <w:rPr>
          <w:rFonts w:ascii="Arial" w:hAnsi="Arial" w:cs="Arial"/>
          <w:color w:val="010000"/>
          <w:sz w:val="20"/>
        </w:rPr>
        <w:t>, the company conducted a revi</w:t>
      </w:r>
      <w:r w:rsidRPr="0085520B">
        <w:rPr>
          <w:rFonts w:ascii="Arial" w:hAnsi="Arial" w:cs="Arial"/>
          <w:color w:val="010000"/>
          <w:sz w:val="20"/>
        </w:rPr>
        <w:t>ew and evaluation of all receivable debts and long-term financial investments to establish provisions in accordance with regulations. The accumulated provisions from previous years have caused negative owners’ equity.</w:t>
      </w:r>
    </w:p>
    <w:p w14:paraId="00000007" w14:textId="77777777" w:rsidR="00282C4C" w:rsidRPr="0085520B" w:rsidRDefault="0085520B" w:rsidP="00855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5520B">
        <w:rPr>
          <w:rFonts w:ascii="Arial" w:hAnsi="Arial" w:cs="Arial"/>
          <w:color w:val="010000"/>
          <w:sz w:val="20"/>
        </w:rPr>
        <w:t>Plan to overcome the situation of restricted transactions</w:t>
      </w:r>
      <w:r w:rsidRPr="0085520B">
        <w:rPr>
          <w:rFonts w:ascii="Arial" w:hAnsi="Arial" w:cs="Arial"/>
          <w:color w:val="010000"/>
          <w:sz w:val="20"/>
        </w:rPr>
        <w:t>:</w:t>
      </w:r>
    </w:p>
    <w:p w14:paraId="00000008" w14:textId="77777777" w:rsidR="00282C4C" w:rsidRPr="0085520B" w:rsidRDefault="0085520B" w:rsidP="00855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5520B">
        <w:rPr>
          <w:rFonts w:ascii="Arial" w:hAnsi="Arial" w:cs="Arial"/>
          <w:color w:val="010000"/>
          <w:sz w:val="20"/>
        </w:rPr>
        <w:t xml:space="preserve">In the upcoming fiscal year, the company will enhance efforts to search for employment and provide services to increase revenue. </w:t>
      </w:r>
      <w:r w:rsidRPr="0085520B">
        <w:rPr>
          <w:rFonts w:ascii="Arial" w:hAnsi="Arial" w:cs="Arial"/>
          <w:color w:val="010000"/>
          <w:sz w:val="20"/>
        </w:rPr>
        <w:t>Actively work with customers to settle outstanding projects to recov</w:t>
      </w:r>
      <w:r w:rsidRPr="0085520B">
        <w:rPr>
          <w:rFonts w:ascii="Arial" w:hAnsi="Arial" w:cs="Arial"/>
          <w:color w:val="010000"/>
          <w:sz w:val="20"/>
        </w:rPr>
        <w:t>er receivable debts and reduce expenses, thereby gradually offsetting the negative owners’ equity by increasing profits.</w:t>
      </w:r>
    </w:p>
    <w:p w14:paraId="00000009" w14:textId="77777777" w:rsidR="00282C4C" w:rsidRPr="0085520B" w:rsidRDefault="0085520B" w:rsidP="00855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282C4C" w:rsidRPr="0085520B" w:rsidSect="0085520B">
          <w:pgSz w:w="11900" w:h="16840"/>
          <w:pgMar w:top="1440" w:right="1440" w:bottom="1440" w:left="1440" w:header="0" w:footer="0" w:gutter="0"/>
          <w:pgNumType w:start="1"/>
          <w:cols w:space="720"/>
          <w:docGrid w:linePitch="326"/>
        </w:sectPr>
      </w:pPr>
      <w:r w:rsidRPr="0085520B">
        <w:rPr>
          <w:rFonts w:ascii="Arial" w:hAnsi="Arial" w:cs="Arial"/>
          <w:color w:val="010000"/>
          <w:sz w:val="20"/>
        </w:rPr>
        <w:t>The company is finalizing the accounting for the Skylight luxury apartment project to boost profits. It will also dives</w:t>
      </w:r>
      <w:r w:rsidRPr="0085520B">
        <w:rPr>
          <w:rFonts w:ascii="Arial" w:hAnsi="Arial" w:cs="Arial"/>
          <w:color w:val="010000"/>
          <w:sz w:val="20"/>
        </w:rPr>
        <w:t>t from units with revenue sources to ensure timely tax payments and increase profits, gradually compensating for the negative owners’ equity.</w:t>
      </w:r>
    </w:p>
    <w:p w14:paraId="0000000A" w14:textId="77777777" w:rsidR="00282C4C" w:rsidRPr="0085520B" w:rsidRDefault="00282C4C" w:rsidP="0085520B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282C4C" w:rsidRPr="0085520B" w:rsidSect="0085520B">
      <w:type w:val="continuous"/>
      <w:pgSz w:w="11900" w:h="16840"/>
      <w:pgMar w:top="1440" w:right="1440" w:bottom="1440" w:left="1440" w:header="0" w:footer="0" w:gutter="0"/>
      <w:cols w:num="2" w:space="720" w:equalWidth="0">
        <w:col w:w="4363" w:space="293"/>
        <w:col w:w="4363" w:space="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715"/>
    <w:multiLevelType w:val="multilevel"/>
    <w:tmpl w:val="3CAC270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  <w:smallCaps w:val="0"/>
        <w:strike w:val="0"/>
        <w:color w:val="16171B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D6D18F3"/>
    <w:multiLevelType w:val="multilevel"/>
    <w:tmpl w:val="2F4001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6171B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4C"/>
    <w:rsid w:val="00282C4C"/>
    <w:rsid w:val="0085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FD5F3"/>
  <w15:docId w15:val="{305BD57B-EE9E-45E9-975C-F07F4BE5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71B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71B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color w:val="16171B"/>
    </w:rPr>
  </w:style>
  <w:style w:type="paragraph" w:customStyle="1" w:styleId="Bodytext30">
    <w:name w:val="Body text (3)"/>
    <w:basedOn w:val="Normal"/>
    <w:link w:val="Bodytext3"/>
    <w:pPr>
      <w:spacing w:line="252" w:lineRule="auto"/>
    </w:pPr>
    <w:rPr>
      <w:rFonts w:ascii="Times New Roman" w:eastAsia="Times New Roman" w:hAnsi="Times New Roman" w:cs="Times New Roman"/>
      <w:color w:val="16171B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after="180" w:line="276" w:lineRule="auto"/>
    </w:pPr>
    <w:rPr>
      <w:rFonts w:ascii="Tahoma" w:eastAsia="Tahoma" w:hAnsi="Tahoma" w:cs="Tahoma"/>
    </w:rPr>
  </w:style>
  <w:style w:type="paragraph" w:customStyle="1" w:styleId="Bodytext20">
    <w:name w:val="Body text (2)"/>
    <w:basedOn w:val="Normal"/>
    <w:link w:val="Bodytext2"/>
    <w:pPr>
      <w:spacing w:line="307" w:lineRule="auto"/>
    </w:pPr>
    <w:rPr>
      <w:rFonts w:ascii="Arial" w:eastAsia="Arial" w:hAnsi="Arial" w:cs="Arial"/>
      <w:sz w:val="9"/>
      <w:szCs w:val="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/52c4dqk0ysvEbDP2weWAH7pDw==">CgMxLjAyCGguZ2pkZ3hzOAByITF1ZndFX2ZocGUwczhFcTYtTU9FOHRQdEFMMlYyazlWeg==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1659</Characters>
  <Application>Microsoft Office Word</Application>
  <DocSecurity>0</DocSecurity>
  <Lines>25</Lines>
  <Paragraphs>10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2024-04-22T04:25:00Z</dcterms:created>
  <dcterms:modified xsi:type="dcterms:W3CDTF">2024-04-23T02:30:00Z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4b26d56f92512eeb144fd86ea81797091d05f38f54c5e061c5309c0ae15be191</vt:lpwstr>
  </property>
</Properties>
</file>