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jc w:val="both"/>
        <w:rPr>
          <w:b w:val="1"/>
          <w:sz w:val="20"/>
          <w:szCs w:val="20"/>
        </w:rPr>
      </w:pPr>
      <w:r>
        <w:rPr>
          <w:b w:val="1"/>
          <w:sz w:val="20"/>
          <w:rtl w:val="0"/>
        </w:rPr>
        <w:t xml:space="preserve">VDB:</w:t>
      </w:r>
      <w:r>
        <w:rPr>
          <w:b w:val="1"/>
          <w:sz w:val="20"/>
          <w:rtl w:val="0"/>
        </w:rPr>
        <w:t xml:space="preserve"> </w:t>
      </w:r>
      <w:r>
        <w:rPr>
          <w:b w:val="1"/>
          <w:sz w:val="20"/>
          <w:rtl w:val="0"/>
        </w:rPr>
        <w:t xml:space="preserve">Board Resolution</w:t>
      </w:r>
    </w:p>
    <w:p w:rsidR="00000000" w:rsidDel="00000000" w:rsidP="00000000" w:rsidRDefault="00000000" w:rsidRPr="00000000" w14:paraId="00000002">
      <w:pPr>
        <w:spacing w:after="240" w:before="240" w:line="360" w:lineRule="auto"/>
        <w:jc w:val="both"/>
        <w:rPr>
          <w:sz w:val="20"/>
          <w:szCs w:val="20"/>
        </w:rPr>
      </w:pPr>
      <w:r>
        <w:rPr>
          <w:sz w:val="20"/>
          <w:rtl w:val="0"/>
        </w:rPr>
        <w:t xml:space="preserve">On April 19, 2023, Dong Bac Transport And Processing Of Coal Joint Stock Company announced Resolution No. 12/NQ-HDQT on approving the profit distribution plan, setting aside funds, dividend payout ratio 2023 and the plan 2024 of Dong Bac Transport And Processing Of Coal JSC as follows:</w:t>
      </w:r>
    </w:p>
    <w:p w:rsidR="00000000" w:rsidDel="00000000" w:rsidP="00000000" w:rsidRDefault="00000000" w:rsidRPr="00000000" w14:paraId="00000003">
      <w:pPr>
        <w:spacing w:after="240" w:before="240" w:line="360" w:lineRule="auto"/>
        <w:rPr>
          <w:sz w:val="20"/>
          <w:szCs w:val="20"/>
        </w:rPr>
      </w:pPr>
      <w:r>
        <w:rPr>
          <w:sz w:val="20"/>
          <w:rtl w:val="0"/>
        </w:rPr>
        <w:t xml:space="preserve">‎‎Article 1.</w:t>
      </w:r>
      <w:r>
        <w:rPr>
          <w:sz w:val="20"/>
          <w:rtl w:val="0"/>
        </w:rPr>
        <w:t xml:space="preserve"> </w:t>
      </w:r>
      <w:r>
        <w:rPr>
          <w:sz w:val="20"/>
          <w:rtl w:val="0"/>
        </w:rPr>
        <w:t xml:space="preserve">Approval for the implementation of the cash dividend payment 2023 is as follows:</w:t>
      </w:r>
    </w:p>
    <w:p w:rsidR="00000000" w:rsidDel="00000000" w:rsidP="00000000" w:rsidRDefault="00000000" w:rsidRPr="00000000" w14:paraId="00000004">
      <w:pPr>
        <w:spacing w:after="240" w:before="240" w:line="360" w:lineRule="auto"/>
        <w:rPr>
          <w:sz w:val="20"/>
          <w:szCs w:val="20"/>
        </w:rPr>
      </w:pPr>
      <w:r>
        <w:t xml:space="preserve">Record date: March 23, 2022.</w:t>
      </w:r>
      <w:r>
        <w:rPr>
          <w:rtl w:val="0"/>
          <w:sz w:val="20"/>
        </w:rPr>
        <w:t xml:space="preserve"> </w:t>
      </w:r>
      <w:r>
        <w:rPr>
          <w:rtl w:val="0"/>
          <w:sz w:val="20"/>
        </w:rPr>
        <w:t xml:space="preserve">May 08, 2024</w:t>
      </w:r>
    </w:p>
    <w:p w:rsidR="00000000" w:rsidDel="00000000" w:rsidP="00000000" w:rsidRDefault="00000000" w:rsidRPr="00000000" w14:paraId="00000005">
      <w:pPr>
        <w:spacing w:after="240" w:before="240" w:line="360" w:lineRule="auto"/>
        <w:rPr>
          <w:sz w:val="20"/>
          <w:szCs w:val="20"/>
        </w:rPr>
      </w:pPr>
      <w:r>
        <w:t xml:space="preserve">Payment date:</w:t>
      </w:r>
      <w:r>
        <w:rPr>
          <w:rtl w:val="0"/>
          <w:sz w:val="20"/>
        </w:rPr>
        <w:t xml:space="preserve"> </w:t>
      </w:r>
      <w:r>
        <w:rPr>
          <w:rtl w:val="0"/>
          <w:sz w:val="20"/>
        </w:rPr>
        <w:t xml:space="preserve">May 24, 2024</w:t>
      </w:r>
    </w:p>
    <w:p w:rsidR="00000000" w:rsidDel="00000000" w:rsidP="00000000" w:rsidRDefault="00000000" w:rsidRPr="00000000" w14:paraId="00000006">
      <w:pPr>
        <w:spacing w:after="240" w:before="240" w:line="360" w:lineRule="auto"/>
        <w:rPr>
          <w:sz w:val="20"/>
          <w:szCs w:val="20"/>
        </w:rPr>
      </w:pPr>
      <w:r>
        <w:t xml:space="preserve">Exercise rate:</w:t>
      </w:r>
      <w:r>
        <w:rPr>
          <w:rtl w:val="0"/>
          <w:sz w:val="20"/>
        </w:rPr>
        <w:t xml:space="preserve"> </w:t>
      </w:r>
      <w:r>
        <w:rPr>
          <w:rtl w:val="0"/>
          <w:sz w:val="20"/>
        </w:rPr>
        <w:t xml:space="preserve">53.36%/charter capital (Shareholders receive VND 5,336.64 for every shares they own).</w:t>
      </w:r>
    </w:p>
    <w:p w:rsidR="00000000" w:rsidDel="00000000" w:rsidP="00000000" w:rsidRDefault="00000000" w:rsidRPr="00000000" w14:paraId="00000007">
      <w:pPr>
        <w:spacing w:after="240" w:before="240" w:line="360" w:lineRule="auto"/>
        <w:rPr>
          <w:sz w:val="20"/>
          <w:szCs w:val="20"/>
        </w:rPr>
      </w:pPr>
      <w:r>
        <w:t xml:space="preserve">Total amount of dividend payment:</w:t>
      </w:r>
      <w:r>
        <w:rPr>
          <w:rtl w:val="0"/>
          <w:sz w:val="20"/>
        </w:rPr>
        <w:t xml:space="preserve"> </w:t>
      </w:r>
      <w:r>
        <w:rPr>
          <w:rtl w:val="0"/>
          <w:sz w:val="20"/>
        </w:rPr>
        <w:t xml:space="preserve">VND 46,312,700,405</w:t>
      </w:r>
    </w:p>
    <w:p w:rsidR="00000000" w:rsidDel="00000000" w:rsidP="00000000" w:rsidRDefault="00000000" w:rsidRPr="00000000" w14:paraId="00000008">
      <w:pPr>
        <w:spacing w:after="240" w:before="240" w:line="360" w:lineRule="auto"/>
        <w:jc w:val="both"/>
        <w:rPr>
          <w:sz w:val="20"/>
          <w:szCs w:val="20"/>
        </w:rPr>
      </w:pPr>
      <w:r>
        <w:t xml:space="preserve">Venue:</w:t>
      </w:r>
    </w:p>
    <w:p w:rsidR="00000000" w:rsidDel="00000000" w:rsidP="00000000" w:rsidRDefault="00000000" w:rsidRPr="00000000" w14:paraId="00000009">
      <w:pPr>
        <w:spacing w:after="240" w:before="240" w:line="360" w:lineRule="auto"/>
        <w:jc w:val="both"/>
        <w:rPr>
          <w:sz w:val="20"/>
          <w:szCs w:val="20"/>
        </w:rPr>
      </w:pPr>
      <w:r>
        <w:rPr>
          <w:sz w:val="20"/>
          <w:rtl w:val="0"/>
        </w:rPr>
        <w:t xml:space="preserve">For deposited securities:</w:t>
      </w:r>
      <w:r>
        <w:rPr>
          <w:sz w:val="20"/>
          <w:rtl w:val="0"/>
        </w:rPr>
        <w:t xml:space="preserve"> </w:t>
      </w:r>
      <w:r>
        <w:rPr>
          <w:sz w:val="20"/>
          <w:rtl w:val="0"/>
        </w:rPr>
        <w:t xml:space="preserve">Owners implement the procedures to receive dividends at Depository Members where their deposited accounts were opened.</w:t>
      </w:r>
    </w:p>
    <w:p w:rsidR="00000000" w:rsidDel="00000000" w:rsidP="00000000" w:rsidRDefault="00000000" w:rsidRPr="00000000" w14:paraId="0000000A">
      <w:pPr>
        <w:spacing w:after="240" w:before="240" w:line="360" w:lineRule="auto"/>
        <w:jc w:val="both"/>
        <w:rPr>
          <w:sz w:val="20"/>
          <w:szCs w:val="20"/>
        </w:rPr>
      </w:pPr>
      <w:r>
        <w:rPr>
          <w:sz w:val="20"/>
          <w:rtl w:val="0"/>
        </w:rPr>
        <w:t xml:space="preserve">For undeposited securities:</w:t>
      </w:r>
      <w:r>
        <w:rPr>
          <w:sz w:val="20"/>
          <w:rtl w:val="0"/>
        </w:rPr>
        <w:t xml:space="preserve"> </w:t>
      </w:r>
      <w:r>
        <w:rPr>
          <w:sz w:val="20"/>
          <w:rtl w:val="0"/>
        </w:rPr>
        <w:t xml:space="preserve">Owners shall apply for dividends at the Office of Dong Bac Transport And Processing Of Coal Joint Stock Company from May 24, 2024 and present their identity cards.</w:t>
      </w:r>
    </w:p>
    <w:p w:rsidR="00000000" w:rsidDel="00000000" w:rsidP="00000000" w:rsidRDefault="00000000" w:rsidRPr="00000000" w14:paraId="0000000B">
      <w:pPr>
        <w:spacing w:after="300" w:before="240" w:line="360" w:lineRule="auto"/>
        <w:jc w:val="both"/>
        <w:rPr>
          <w:sz w:val="20"/>
          <w:szCs w:val="20"/>
        </w:rPr>
      </w:pPr>
      <w:r>
        <w:rPr>
          <w:sz w:val="20"/>
          <w:rtl w:val="0"/>
        </w:rPr>
        <w:t xml:space="preserve">‎‎Article 2.</w:t>
      </w:r>
      <w:r>
        <w:rPr>
          <w:sz w:val="20"/>
          <w:rtl w:val="0"/>
        </w:rPr>
        <w:t xml:space="preserve"> </w:t>
      </w:r>
      <w:r>
        <w:rPr>
          <w:sz w:val="20"/>
          <w:rtl w:val="0"/>
        </w:rPr>
        <w:t xml:space="preserve">The Board of Directors authorizes Phuong Kim Hanh, Manager of the Company to direct functional departments and related agencies to organize the implementation of the above contents to ensure sufficient contents and time.</w:t>
      </w:r>
    </w:p>
    <w:p w:rsidR="00000000" w:rsidDel="00000000" w:rsidP="00000000" w:rsidRDefault="00000000" w:rsidRPr="00000000" w14:paraId="0000000C">
      <w:pPr>
        <w:spacing w:after="320" w:before="240" w:line="360" w:lineRule="auto"/>
        <w:rPr>
          <w:sz w:val="20"/>
          <w:szCs w:val="20"/>
        </w:rPr>
      </w:pPr>
      <w:r>
        <w:rPr>
          <w:sz w:val="20"/>
          <w:rtl w:val="0"/>
        </w:rPr>
        <w:t xml:space="preserve">‎‎Article 3.</w:t>
      </w:r>
      <w:r>
        <w:rPr>
          <w:sz w:val="20"/>
          <w:rtl w:val="0"/>
        </w:rPr>
        <w:t xml:space="preserve"> </w:t>
      </w:r>
      <w:r>
        <w:rPr>
          <w:sz w:val="20"/>
          <w:rtl w:val="0"/>
        </w:rPr>
        <w:t xml:space="preserve">This Board Resolution takes effect from the date of its signing.</w:t>
      </w:r>
      <w:r>
        <w:rPr>
          <w:sz w:val="20"/>
          <w:rtl w:val="0"/>
        </w:rPr>
        <w:t xml:space="preserve"> </w:t>
      </w:r>
      <w:r>
        <w:rPr>
          <w:sz w:val="20"/>
          <w:rtl w:val="0"/>
        </w:rPr>
        <w:t xml:space="preserve">Members of the Board of Directors, Board of Managers, Supervisory Board, Chief Accountant, related agencies and units shall be responsible for the implementation of this Resolution./.</w:t>
      </w:r>
    </w:p>
    <w:p w:rsidR="00000000" w:rsidDel="00000000" w:rsidP="00000000" w:rsidRDefault="00000000" w:rsidRPr="00000000" w14:paraId="0000000D">
      <w:pPr>
        <w:spacing w:after="240" w:before="240" w:line="360" w:lineRule="auto"/>
        <w:rPr>
          <w:sz w:val="20"/>
          <w:szCs w:val="20"/>
        </w:rPr>
      </w:pPr>
      <w:r w:rsidDel="00000000" w:rsidR="00000000" w:rsidRPr="00000000">
        <w:rPr>
          <w:rtl w:val="0"/>
        </w:rPr>
      </w:r>
    </w:p>
    <w:p w:rsidR="00000000" w:rsidDel="00000000" w:rsidP="00000000" w:rsidRDefault="00000000" w:rsidRPr="00000000" w14:paraId="0000000E">
      <w:pPr>
        <w:spacing w:after="240" w:before="240" w:line="360" w:lineRule="auto"/>
        <w:rPr>
          <w:sz w:val="20"/>
          <w:szCs w:val="20"/>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