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F3AAE"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851AE9">
        <w:rPr>
          <w:rFonts w:ascii="Arial" w:hAnsi="Arial" w:cs="Arial"/>
          <w:b/>
          <w:color w:val="010000"/>
          <w:sz w:val="20"/>
        </w:rPr>
        <w:t>ADC: Annual General Mandate 2024</w:t>
      </w:r>
    </w:p>
    <w:p w14:paraId="071B1AA1" w14:textId="08327F92"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 xml:space="preserve">On April 17, 2024, Art Design and Communication Joint Stock Company announced General </w:t>
      </w:r>
      <w:r w:rsidR="00851AE9" w:rsidRPr="00851AE9">
        <w:rPr>
          <w:rFonts w:ascii="Arial" w:hAnsi="Arial" w:cs="Arial"/>
          <w:color w:val="010000"/>
          <w:sz w:val="20"/>
        </w:rPr>
        <w:t>M</w:t>
      </w:r>
      <w:r w:rsidRPr="00851AE9">
        <w:rPr>
          <w:rFonts w:ascii="Arial" w:hAnsi="Arial" w:cs="Arial"/>
          <w:color w:val="010000"/>
          <w:sz w:val="20"/>
        </w:rPr>
        <w:t>andate No.</w:t>
      </w:r>
      <w:r w:rsidR="00851AE9" w:rsidRPr="00851AE9">
        <w:rPr>
          <w:rFonts w:ascii="Arial" w:hAnsi="Arial" w:cs="Arial"/>
          <w:color w:val="010000"/>
          <w:sz w:val="20"/>
        </w:rPr>
        <w:t xml:space="preserve"> </w:t>
      </w:r>
      <w:r w:rsidRPr="00851AE9">
        <w:rPr>
          <w:rFonts w:ascii="Arial" w:hAnsi="Arial" w:cs="Arial"/>
          <w:color w:val="010000"/>
          <w:sz w:val="20"/>
        </w:rPr>
        <w:t>01/2024/NQDHDCD-MTTT as follows:</w:t>
      </w:r>
    </w:p>
    <w:p w14:paraId="35D937CE"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Article 1: Approve the production and business results and profit distribution in 2023.</w:t>
      </w:r>
    </w:p>
    <w:p w14:paraId="693E9ED8" w14:textId="77777777" w:rsidR="009D4740" w:rsidRPr="00851AE9" w:rsidRDefault="00D55316" w:rsidP="00D55316">
      <w:pPr>
        <w:numPr>
          <w:ilvl w:val="0"/>
          <w:numId w:val="3"/>
        </w:numPr>
        <w:pBdr>
          <w:top w:val="nil"/>
          <w:left w:val="nil"/>
          <w:bottom w:val="nil"/>
          <w:right w:val="nil"/>
          <w:between w:val="nil"/>
        </w:pBdr>
        <w:tabs>
          <w:tab w:val="left" w:pos="284"/>
          <w:tab w:val="left" w:pos="567"/>
          <w:tab w:val="left" w:pos="1108"/>
        </w:tabs>
        <w:spacing w:after="120" w:line="360" w:lineRule="auto"/>
        <w:rPr>
          <w:rFonts w:ascii="Arial" w:eastAsia="Arial" w:hAnsi="Arial" w:cs="Arial"/>
          <w:color w:val="010000"/>
          <w:sz w:val="20"/>
          <w:szCs w:val="20"/>
        </w:rPr>
      </w:pPr>
      <w:r w:rsidRPr="00851AE9">
        <w:rPr>
          <w:rFonts w:ascii="Arial" w:hAnsi="Arial" w:cs="Arial"/>
          <w:color w:val="010000"/>
          <w:sz w:val="20"/>
        </w:rPr>
        <w:t>Financial targets</w:t>
      </w:r>
    </w:p>
    <w:p w14:paraId="2260A979" w14:textId="77777777" w:rsidR="009D4740" w:rsidRPr="00851AE9" w:rsidRDefault="00D55316" w:rsidP="00D55316">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851AE9">
        <w:rPr>
          <w:rFonts w:ascii="Arial" w:hAnsi="Arial" w:cs="Arial"/>
          <w:color w:val="010000"/>
          <w:sz w:val="20"/>
        </w:rPr>
        <w:t>Comparison with the production and business plan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0"/>
        <w:gridCol w:w="2501"/>
        <w:gridCol w:w="2496"/>
        <w:gridCol w:w="2499"/>
      </w:tblGrid>
      <w:tr w:rsidR="009D4740" w:rsidRPr="00851AE9" w14:paraId="4DD72CDA" w14:textId="77777777" w:rsidTr="00D55316">
        <w:tc>
          <w:tcPr>
            <w:tcW w:w="843" w:type="pct"/>
            <w:shd w:val="clear" w:color="auto" w:fill="auto"/>
            <w:tcMar>
              <w:top w:w="0" w:type="dxa"/>
              <w:bottom w:w="0" w:type="dxa"/>
            </w:tcMar>
            <w:vAlign w:val="center"/>
          </w:tcPr>
          <w:p w14:paraId="71525B19"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Targets</w:t>
            </w:r>
          </w:p>
        </w:tc>
        <w:tc>
          <w:tcPr>
            <w:tcW w:w="1387" w:type="pct"/>
            <w:shd w:val="clear" w:color="auto" w:fill="auto"/>
            <w:tcMar>
              <w:top w:w="0" w:type="dxa"/>
              <w:bottom w:w="0" w:type="dxa"/>
            </w:tcMar>
            <w:vAlign w:val="center"/>
          </w:tcPr>
          <w:p w14:paraId="7F7DCD9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 xml:space="preserve">2023 Results </w:t>
            </w:r>
          </w:p>
        </w:tc>
        <w:tc>
          <w:tcPr>
            <w:tcW w:w="1384" w:type="pct"/>
            <w:shd w:val="clear" w:color="auto" w:fill="auto"/>
            <w:tcMar>
              <w:top w:w="0" w:type="dxa"/>
              <w:bottom w:w="0" w:type="dxa"/>
            </w:tcMar>
            <w:vAlign w:val="center"/>
          </w:tcPr>
          <w:p w14:paraId="1845B982"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2023 Plan</w:t>
            </w:r>
          </w:p>
        </w:tc>
        <w:tc>
          <w:tcPr>
            <w:tcW w:w="1386" w:type="pct"/>
            <w:shd w:val="clear" w:color="auto" w:fill="auto"/>
            <w:tcMar>
              <w:top w:w="0" w:type="dxa"/>
              <w:bottom w:w="0" w:type="dxa"/>
            </w:tcMar>
            <w:vAlign w:val="center"/>
          </w:tcPr>
          <w:p w14:paraId="45EA6FFE"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Results/Plan</w:t>
            </w:r>
          </w:p>
        </w:tc>
      </w:tr>
      <w:tr w:rsidR="009D4740" w:rsidRPr="00851AE9" w14:paraId="06881E4F" w14:textId="77777777" w:rsidTr="00D55316">
        <w:tc>
          <w:tcPr>
            <w:tcW w:w="843" w:type="pct"/>
            <w:shd w:val="clear" w:color="auto" w:fill="auto"/>
            <w:tcMar>
              <w:top w:w="0" w:type="dxa"/>
              <w:bottom w:w="0" w:type="dxa"/>
            </w:tcMar>
            <w:vAlign w:val="center"/>
          </w:tcPr>
          <w:p w14:paraId="52E08F45"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Revenue</w:t>
            </w:r>
          </w:p>
        </w:tc>
        <w:tc>
          <w:tcPr>
            <w:tcW w:w="1387" w:type="pct"/>
            <w:shd w:val="clear" w:color="auto" w:fill="auto"/>
            <w:tcMar>
              <w:top w:w="0" w:type="dxa"/>
              <w:bottom w:w="0" w:type="dxa"/>
            </w:tcMar>
            <w:vAlign w:val="center"/>
          </w:tcPr>
          <w:p w14:paraId="0BE52F5F"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433,3 billion</w:t>
            </w:r>
          </w:p>
        </w:tc>
        <w:tc>
          <w:tcPr>
            <w:tcW w:w="1384" w:type="pct"/>
            <w:shd w:val="clear" w:color="auto" w:fill="auto"/>
            <w:tcMar>
              <w:top w:w="0" w:type="dxa"/>
              <w:bottom w:w="0" w:type="dxa"/>
            </w:tcMar>
            <w:vAlign w:val="center"/>
          </w:tcPr>
          <w:p w14:paraId="7257192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400 billion</w:t>
            </w:r>
          </w:p>
        </w:tc>
        <w:tc>
          <w:tcPr>
            <w:tcW w:w="1386" w:type="pct"/>
            <w:shd w:val="clear" w:color="auto" w:fill="auto"/>
            <w:tcMar>
              <w:top w:w="0" w:type="dxa"/>
              <w:bottom w:w="0" w:type="dxa"/>
            </w:tcMar>
            <w:vAlign w:val="center"/>
          </w:tcPr>
          <w:p w14:paraId="126D4F4E"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108,3%</w:t>
            </w:r>
          </w:p>
        </w:tc>
      </w:tr>
      <w:tr w:rsidR="009D4740" w:rsidRPr="00851AE9" w14:paraId="736BF635" w14:textId="77777777" w:rsidTr="00D55316">
        <w:tc>
          <w:tcPr>
            <w:tcW w:w="843" w:type="pct"/>
            <w:shd w:val="clear" w:color="auto" w:fill="auto"/>
            <w:tcMar>
              <w:top w:w="0" w:type="dxa"/>
              <w:bottom w:w="0" w:type="dxa"/>
            </w:tcMar>
            <w:vAlign w:val="center"/>
          </w:tcPr>
          <w:p w14:paraId="2EFF6E4E"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w:t>
            </w:r>
          </w:p>
        </w:tc>
        <w:tc>
          <w:tcPr>
            <w:tcW w:w="1387" w:type="pct"/>
            <w:shd w:val="clear" w:color="auto" w:fill="auto"/>
            <w:tcMar>
              <w:top w:w="0" w:type="dxa"/>
              <w:bottom w:w="0" w:type="dxa"/>
            </w:tcMar>
            <w:vAlign w:val="center"/>
          </w:tcPr>
          <w:p w14:paraId="18376341"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18,2 billion</w:t>
            </w:r>
          </w:p>
        </w:tc>
        <w:tc>
          <w:tcPr>
            <w:tcW w:w="1384" w:type="pct"/>
            <w:shd w:val="clear" w:color="auto" w:fill="auto"/>
            <w:tcMar>
              <w:top w:w="0" w:type="dxa"/>
              <w:bottom w:w="0" w:type="dxa"/>
            </w:tcMar>
            <w:vAlign w:val="center"/>
          </w:tcPr>
          <w:p w14:paraId="1FE781F1"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17,5 billion</w:t>
            </w:r>
          </w:p>
        </w:tc>
        <w:tc>
          <w:tcPr>
            <w:tcW w:w="1386" w:type="pct"/>
            <w:shd w:val="clear" w:color="auto" w:fill="auto"/>
            <w:tcMar>
              <w:top w:w="0" w:type="dxa"/>
              <w:bottom w:w="0" w:type="dxa"/>
            </w:tcMar>
            <w:vAlign w:val="center"/>
          </w:tcPr>
          <w:p w14:paraId="0F70BF6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103,8%</w:t>
            </w:r>
          </w:p>
        </w:tc>
      </w:tr>
    </w:tbl>
    <w:p w14:paraId="0FD15202" w14:textId="77777777" w:rsidR="009D4740" w:rsidRPr="00851AE9" w:rsidRDefault="00D55316" w:rsidP="00D55316">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851AE9">
        <w:rPr>
          <w:rFonts w:ascii="Arial" w:hAnsi="Arial" w:cs="Arial"/>
          <w:color w:val="010000"/>
          <w:sz w:val="20"/>
        </w:rPr>
        <w:t xml:space="preserve">Comparison between 2023 and 2022 production and business results </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9"/>
        <w:gridCol w:w="2497"/>
        <w:gridCol w:w="2494"/>
        <w:gridCol w:w="2506"/>
      </w:tblGrid>
      <w:tr w:rsidR="009D4740" w:rsidRPr="00851AE9" w14:paraId="133B0A63" w14:textId="77777777" w:rsidTr="00D55316">
        <w:tc>
          <w:tcPr>
            <w:tcW w:w="842" w:type="pct"/>
            <w:shd w:val="clear" w:color="auto" w:fill="auto"/>
            <w:tcMar>
              <w:top w:w="0" w:type="dxa"/>
              <w:bottom w:w="0" w:type="dxa"/>
            </w:tcMar>
            <w:vAlign w:val="center"/>
          </w:tcPr>
          <w:p w14:paraId="6C43C8D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Targets</w:t>
            </w:r>
          </w:p>
        </w:tc>
        <w:tc>
          <w:tcPr>
            <w:tcW w:w="1385" w:type="pct"/>
            <w:shd w:val="clear" w:color="auto" w:fill="auto"/>
            <w:tcMar>
              <w:top w:w="0" w:type="dxa"/>
              <w:bottom w:w="0" w:type="dxa"/>
            </w:tcMar>
            <w:vAlign w:val="center"/>
          </w:tcPr>
          <w:p w14:paraId="7F7D40E3"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2023 Results</w:t>
            </w:r>
          </w:p>
        </w:tc>
        <w:tc>
          <w:tcPr>
            <w:tcW w:w="1383" w:type="pct"/>
            <w:shd w:val="clear" w:color="auto" w:fill="auto"/>
            <w:tcMar>
              <w:top w:w="0" w:type="dxa"/>
              <w:bottom w:w="0" w:type="dxa"/>
            </w:tcMar>
            <w:vAlign w:val="center"/>
          </w:tcPr>
          <w:p w14:paraId="032F41AD"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2022 Results</w:t>
            </w:r>
          </w:p>
        </w:tc>
        <w:tc>
          <w:tcPr>
            <w:tcW w:w="1390" w:type="pct"/>
            <w:shd w:val="clear" w:color="auto" w:fill="auto"/>
            <w:tcMar>
              <w:top w:w="0" w:type="dxa"/>
              <w:bottom w:w="0" w:type="dxa"/>
            </w:tcMar>
            <w:vAlign w:val="center"/>
          </w:tcPr>
          <w:p w14:paraId="46F72B0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Rate (2023/2022)</w:t>
            </w:r>
          </w:p>
        </w:tc>
      </w:tr>
      <w:tr w:rsidR="009D4740" w:rsidRPr="00851AE9" w14:paraId="1F0595F3" w14:textId="77777777" w:rsidTr="00D55316">
        <w:tc>
          <w:tcPr>
            <w:tcW w:w="842" w:type="pct"/>
            <w:shd w:val="clear" w:color="auto" w:fill="auto"/>
            <w:tcMar>
              <w:top w:w="0" w:type="dxa"/>
              <w:bottom w:w="0" w:type="dxa"/>
            </w:tcMar>
            <w:vAlign w:val="center"/>
          </w:tcPr>
          <w:p w14:paraId="5B0A23B9"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Revenue</w:t>
            </w:r>
          </w:p>
        </w:tc>
        <w:tc>
          <w:tcPr>
            <w:tcW w:w="1385" w:type="pct"/>
            <w:shd w:val="clear" w:color="auto" w:fill="auto"/>
            <w:tcMar>
              <w:top w:w="0" w:type="dxa"/>
              <w:bottom w:w="0" w:type="dxa"/>
            </w:tcMar>
            <w:vAlign w:val="center"/>
          </w:tcPr>
          <w:p w14:paraId="2F094D0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433,3 billion</w:t>
            </w:r>
          </w:p>
        </w:tc>
        <w:tc>
          <w:tcPr>
            <w:tcW w:w="1383" w:type="pct"/>
            <w:shd w:val="clear" w:color="auto" w:fill="auto"/>
            <w:tcMar>
              <w:top w:w="0" w:type="dxa"/>
              <w:bottom w:w="0" w:type="dxa"/>
            </w:tcMar>
            <w:vAlign w:val="center"/>
          </w:tcPr>
          <w:p w14:paraId="12DD7ADC"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391,7 billion</w:t>
            </w:r>
          </w:p>
        </w:tc>
        <w:tc>
          <w:tcPr>
            <w:tcW w:w="1390" w:type="pct"/>
            <w:shd w:val="clear" w:color="auto" w:fill="auto"/>
            <w:tcMar>
              <w:top w:w="0" w:type="dxa"/>
              <w:bottom w:w="0" w:type="dxa"/>
            </w:tcMar>
            <w:vAlign w:val="center"/>
          </w:tcPr>
          <w:p w14:paraId="55BF17EC"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110,6%</w:t>
            </w:r>
          </w:p>
        </w:tc>
      </w:tr>
      <w:tr w:rsidR="009D4740" w:rsidRPr="00851AE9" w14:paraId="5A0F3DC1" w14:textId="77777777" w:rsidTr="00D55316">
        <w:tc>
          <w:tcPr>
            <w:tcW w:w="842" w:type="pct"/>
            <w:shd w:val="clear" w:color="auto" w:fill="auto"/>
            <w:tcMar>
              <w:top w:w="0" w:type="dxa"/>
              <w:bottom w:w="0" w:type="dxa"/>
            </w:tcMar>
            <w:vAlign w:val="center"/>
          </w:tcPr>
          <w:p w14:paraId="34563D41"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w:t>
            </w:r>
          </w:p>
        </w:tc>
        <w:tc>
          <w:tcPr>
            <w:tcW w:w="1385" w:type="pct"/>
            <w:shd w:val="clear" w:color="auto" w:fill="auto"/>
            <w:tcMar>
              <w:top w:w="0" w:type="dxa"/>
              <w:bottom w:w="0" w:type="dxa"/>
            </w:tcMar>
            <w:vAlign w:val="center"/>
          </w:tcPr>
          <w:p w14:paraId="6B78C65F"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18,2 billion</w:t>
            </w:r>
          </w:p>
        </w:tc>
        <w:tc>
          <w:tcPr>
            <w:tcW w:w="1383" w:type="pct"/>
            <w:shd w:val="clear" w:color="auto" w:fill="auto"/>
            <w:tcMar>
              <w:top w:w="0" w:type="dxa"/>
              <w:bottom w:w="0" w:type="dxa"/>
            </w:tcMar>
            <w:vAlign w:val="center"/>
          </w:tcPr>
          <w:p w14:paraId="135F0999"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17,2 billion</w:t>
            </w:r>
          </w:p>
        </w:tc>
        <w:tc>
          <w:tcPr>
            <w:tcW w:w="1390" w:type="pct"/>
            <w:shd w:val="clear" w:color="auto" w:fill="auto"/>
            <w:tcMar>
              <w:top w:w="0" w:type="dxa"/>
              <w:bottom w:w="0" w:type="dxa"/>
            </w:tcMar>
            <w:vAlign w:val="center"/>
          </w:tcPr>
          <w:p w14:paraId="3FFFF964"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105,5%</w:t>
            </w:r>
          </w:p>
        </w:tc>
      </w:tr>
    </w:tbl>
    <w:p w14:paraId="15C0F972" w14:textId="1454A982"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2. Profit distribution and appropriation for funds in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7"/>
        <w:gridCol w:w="3069"/>
      </w:tblGrid>
      <w:tr w:rsidR="009D4740" w:rsidRPr="00851AE9" w14:paraId="2E7862C1" w14:textId="77777777" w:rsidTr="00D55316">
        <w:tc>
          <w:tcPr>
            <w:tcW w:w="3298" w:type="pct"/>
            <w:shd w:val="clear" w:color="auto" w:fill="auto"/>
            <w:tcMar>
              <w:top w:w="0" w:type="dxa"/>
              <w:bottom w:w="0" w:type="dxa"/>
            </w:tcMar>
            <w:vAlign w:val="center"/>
          </w:tcPr>
          <w:p w14:paraId="272E4635" w14:textId="77777777" w:rsidR="009D4740" w:rsidRPr="00851AE9" w:rsidRDefault="00D55316" w:rsidP="00851AE9">
            <w:pPr>
              <w:pBdr>
                <w:top w:val="nil"/>
                <w:left w:val="nil"/>
                <w:bottom w:val="nil"/>
                <w:right w:val="nil"/>
                <w:between w:val="nil"/>
              </w:pBdr>
              <w:spacing w:after="120" w:line="360" w:lineRule="auto"/>
              <w:jc w:val="center"/>
              <w:rPr>
                <w:rFonts w:ascii="Arial" w:eastAsia="Arial" w:hAnsi="Arial" w:cs="Arial"/>
                <w:color w:val="010000"/>
                <w:sz w:val="20"/>
                <w:szCs w:val="20"/>
              </w:rPr>
            </w:pPr>
            <w:r w:rsidRPr="00851AE9">
              <w:rPr>
                <w:rFonts w:ascii="Arial" w:hAnsi="Arial" w:cs="Arial"/>
                <w:color w:val="010000"/>
                <w:sz w:val="20"/>
              </w:rPr>
              <w:t>Targets</w:t>
            </w:r>
          </w:p>
        </w:tc>
        <w:tc>
          <w:tcPr>
            <w:tcW w:w="1702" w:type="pct"/>
            <w:shd w:val="clear" w:color="auto" w:fill="auto"/>
            <w:tcMar>
              <w:top w:w="0" w:type="dxa"/>
              <w:bottom w:w="0" w:type="dxa"/>
            </w:tcMar>
            <w:vAlign w:val="center"/>
          </w:tcPr>
          <w:p w14:paraId="35483725" w14:textId="77777777" w:rsidR="009D4740" w:rsidRPr="00851AE9" w:rsidRDefault="00D55316" w:rsidP="00851AE9">
            <w:pPr>
              <w:pBdr>
                <w:top w:val="nil"/>
                <w:left w:val="nil"/>
                <w:bottom w:val="nil"/>
                <w:right w:val="nil"/>
                <w:between w:val="nil"/>
              </w:pBdr>
              <w:spacing w:after="120" w:line="360" w:lineRule="auto"/>
              <w:jc w:val="center"/>
              <w:rPr>
                <w:rFonts w:ascii="Arial" w:eastAsia="Arial" w:hAnsi="Arial" w:cs="Arial"/>
                <w:color w:val="010000"/>
                <w:sz w:val="20"/>
                <w:szCs w:val="20"/>
              </w:rPr>
            </w:pPr>
            <w:r w:rsidRPr="00851AE9">
              <w:rPr>
                <w:rFonts w:ascii="Arial" w:hAnsi="Arial" w:cs="Arial"/>
                <w:color w:val="010000"/>
                <w:sz w:val="20"/>
              </w:rPr>
              <w:t>Amount (VND)</w:t>
            </w:r>
          </w:p>
        </w:tc>
      </w:tr>
      <w:tr w:rsidR="009D4740" w:rsidRPr="00851AE9" w14:paraId="71EDB3B2" w14:textId="77777777" w:rsidTr="00D55316">
        <w:tc>
          <w:tcPr>
            <w:tcW w:w="3298" w:type="pct"/>
            <w:shd w:val="clear" w:color="auto" w:fill="auto"/>
            <w:tcMar>
              <w:top w:w="0" w:type="dxa"/>
              <w:bottom w:w="0" w:type="dxa"/>
            </w:tcMar>
            <w:vAlign w:val="center"/>
          </w:tcPr>
          <w:p w14:paraId="5B71578F"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 before tax</w:t>
            </w:r>
          </w:p>
        </w:tc>
        <w:tc>
          <w:tcPr>
            <w:tcW w:w="1702" w:type="pct"/>
            <w:shd w:val="clear" w:color="auto" w:fill="auto"/>
            <w:tcMar>
              <w:top w:w="0" w:type="dxa"/>
              <w:bottom w:w="0" w:type="dxa"/>
            </w:tcMar>
            <w:vAlign w:val="center"/>
          </w:tcPr>
          <w:p w14:paraId="2638F3CD"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18,170,969,727</w:t>
            </w:r>
          </w:p>
        </w:tc>
      </w:tr>
      <w:tr w:rsidR="009D4740" w:rsidRPr="00851AE9" w14:paraId="46E3B460" w14:textId="77777777" w:rsidTr="00D55316">
        <w:tc>
          <w:tcPr>
            <w:tcW w:w="3298" w:type="pct"/>
            <w:shd w:val="clear" w:color="auto" w:fill="auto"/>
            <w:tcMar>
              <w:top w:w="0" w:type="dxa"/>
              <w:bottom w:w="0" w:type="dxa"/>
            </w:tcMar>
            <w:vAlign w:val="center"/>
          </w:tcPr>
          <w:p w14:paraId="4713A4A8"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Corporate income tax</w:t>
            </w:r>
          </w:p>
        </w:tc>
        <w:tc>
          <w:tcPr>
            <w:tcW w:w="1702" w:type="pct"/>
            <w:shd w:val="clear" w:color="auto" w:fill="auto"/>
            <w:tcMar>
              <w:top w:w="0" w:type="dxa"/>
              <w:bottom w:w="0" w:type="dxa"/>
            </w:tcMar>
            <w:vAlign w:val="center"/>
          </w:tcPr>
          <w:p w14:paraId="57A09793"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3,939,159,557</w:t>
            </w:r>
          </w:p>
        </w:tc>
      </w:tr>
      <w:tr w:rsidR="009D4740" w:rsidRPr="00851AE9" w14:paraId="587D7385" w14:textId="77777777" w:rsidTr="00D55316">
        <w:tc>
          <w:tcPr>
            <w:tcW w:w="3298" w:type="pct"/>
            <w:shd w:val="clear" w:color="auto" w:fill="auto"/>
            <w:tcMar>
              <w:top w:w="0" w:type="dxa"/>
              <w:bottom w:w="0" w:type="dxa"/>
            </w:tcMar>
            <w:vAlign w:val="center"/>
          </w:tcPr>
          <w:p w14:paraId="288B95C7"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 after tax</w:t>
            </w:r>
          </w:p>
        </w:tc>
        <w:tc>
          <w:tcPr>
            <w:tcW w:w="1702" w:type="pct"/>
            <w:shd w:val="clear" w:color="auto" w:fill="auto"/>
            <w:tcMar>
              <w:top w:w="0" w:type="dxa"/>
              <w:bottom w:w="0" w:type="dxa"/>
            </w:tcMar>
            <w:vAlign w:val="center"/>
          </w:tcPr>
          <w:p w14:paraId="0DFDB10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14,231,810,170</w:t>
            </w:r>
          </w:p>
        </w:tc>
      </w:tr>
      <w:tr w:rsidR="009D4740" w:rsidRPr="00851AE9" w14:paraId="59B5FA15" w14:textId="77777777" w:rsidTr="00D55316">
        <w:tc>
          <w:tcPr>
            <w:tcW w:w="3298" w:type="pct"/>
            <w:shd w:val="clear" w:color="auto" w:fill="auto"/>
            <w:tcMar>
              <w:top w:w="0" w:type="dxa"/>
              <w:bottom w:w="0" w:type="dxa"/>
            </w:tcMar>
            <w:vAlign w:val="center"/>
          </w:tcPr>
          <w:p w14:paraId="5FC59992" w14:textId="77777777" w:rsidR="009D4740" w:rsidRPr="00851AE9" w:rsidRDefault="00D55316" w:rsidP="00851AE9">
            <w:pPr>
              <w:spacing w:after="120" w:line="360" w:lineRule="auto"/>
              <w:rPr>
                <w:rFonts w:ascii="Arial" w:eastAsia="Arial" w:hAnsi="Arial" w:cs="Arial"/>
                <w:color w:val="010000"/>
                <w:sz w:val="20"/>
                <w:szCs w:val="20"/>
              </w:rPr>
            </w:pPr>
            <w:r w:rsidRPr="00851AE9">
              <w:rPr>
                <w:rFonts w:ascii="Arial" w:hAnsi="Arial" w:cs="Arial"/>
                <w:color w:val="010000"/>
                <w:sz w:val="20"/>
              </w:rPr>
              <w:t>Distribution of profit after tax</w:t>
            </w:r>
          </w:p>
        </w:tc>
        <w:tc>
          <w:tcPr>
            <w:tcW w:w="1702" w:type="pct"/>
            <w:shd w:val="clear" w:color="auto" w:fill="auto"/>
            <w:tcMar>
              <w:top w:w="0" w:type="dxa"/>
              <w:bottom w:w="0" w:type="dxa"/>
            </w:tcMar>
            <w:vAlign w:val="center"/>
          </w:tcPr>
          <w:p w14:paraId="3AA1513A" w14:textId="77777777" w:rsidR="009D4740" w:rsidRPr="00851AE9" w:rsidRDefault="009D4740" w:rsidP="00D55316">
            <w:pPr>
              <w:spacing w:after="120" w:line="360" w:lineRule="auto"/>
              <w:rPr>
                <w:rFonts w:ascii="Arial" w:eastAsia="Arial" w:hAnsi="Arial" w:cs="Arial"/>
                <w:color w:val="010000"/>
                <w:sz w:val="20"/>
                <w:szCs w:val="20"/>
              </w:rPr>
            </w:pPr>
          </w:p>
        </w:tc>
      </w:tr>
      <w:tr w:rsidR="009D4740" w:rsidRPr="00851AE9" w14:paraId="61193108" w14:textId="77777777" w:rsidTr="00D55316">
        <w:tc>
          <w:tcPr>
            <w:tcW w:w="3298" w:type="pct"/>
            <w:shd w:val="clear" w:color="auto" w:fill="auto"/>
            <w:tcMar>
              <w:top w:w="0" w:type="dxa"/>
              <w:bottom w:w="0" w:type="dxa"/>
            </w:tcMar>
            <w:vAlign w:val="center"/>
          </w:tcPr>
          <w:p w14:paraId="3547D391"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Dividend (15%)</w:t>
            </w:r>
          </w:p>
        </w:tc>
        <w:tc>
          <w:tcPr>
            <w:tcW w:w="1702" w:type="pct"/>
            <w:shd w:val="clear" w:color="auto" w:fill="auto"/>
            <w:tcMar>
              <w:top w:w="0" w:type="dxa"/>
              <w:bottom w:w="0" w:type="dxa"/>
            </w:tcMar>
            <w:vAlign w:val="center"/>
          </w:tcPr>
          <w:p w14:paraId="1F8C36A6"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5,966,904,000</w:t>
            </w:r>
          </w:p>
        </w:tc>
      </w:tr>
      <w:tr w:rsidR="009D4740" w:rsidRPr="00851AE9" w14:paraId="316C527B" w14:textId="77777777" w:rsidTr="00D55316">
        <w:tc>
          <w:tcPr>
            <w:tcW w:w="3298" w:type="pct"/>
            <w:shd w:val="clear" w:color="auto" w:fill="auto"/>
            <w:tcMar>
              <w:top w:w="0" w:type="dxa"/>
              <w:bottom w:w="0" w:type="dxa"/>
            </w:tcMar>
            <w:vAlign w:val="center"/>
          </w:tcPr>
          <w:p w14:paraId="1E7AD8A0"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Bonus fund (5%)</w:t>
            </w:r>
          </w:p>
        </w:tc>
        <w:tc>
          <w:tcPr>
            <w:tcW w:w="1702" w:type="pct"/>
            <w:shd w:val="clear" w:color="auto" w:fill="auto"/>
            <w:tcMar>
              <w:top w:w="0" w:type="dxa"/>
              <w:bottom w:w="0" w:type="dxa"/>
            </w:tcMar>
            <w:vAlign w:val="center"/>
          </w:tcPr>
          <w:p w14:paraId="69D527FF"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711,590,509</w:t>
            </w:r>
          </w:p>
        </w:tc>
      </w:tr>
      <w:tr w:rsidR="009D4740" w:rsidRPr="00851AE9" w14:paraId="0DD3E33C" w14:textId="77777777" w:rsidTr="00D55316">
        <w:tc>
          <w:tcPr>
            <w:tcW w:w="3298" w:type="pct"/>
            <w:shd w:val="clear" w:color="auto" w:fill="auto"/>
            <w:tcMar>
              <w:top w:w="0" w:type="dxa"/>
              <w:bottom w:w="0" w:type="dxa"/>
            </w:tcMar>
            <w:vAlign w:val="center"/>
          </w:tcPr>
          <w:p w14:paraId="23A5014B"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Welfare fund (10%)</w:t>
            </w:r>
          </w:p>
        </w:tc>
        <w:tc>
          <w:tcPr>
            <w:tcW w:w="1702" w:type="pct"/>
            <w:shd w:val="clear" w:color="auto" w:fill="auto"/>
            <w:tcMar>
              <w:top w:w="0" w:type="dxa"/>
              <w:bottom w:w="0" w:type="dxa"/>
            </w:tcMar>
            <w:vAlign w:val="center"/>
          </w:tcPr>
          <w:p w14:paraId="0C2F4E1A"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1,423,181,017</w:t>
            </w:r>
          </w:p>
        </w:tc>
      </w:tr>
      <w:tr w:rsidR="009D4740" w:rsidRPr="00851AE9" w14:paraId="27FC6694" w14:textId="77777777" w:rsidTr="00D55316">
        <w:tc>
          <w:tcPr>
            <w:tcW w:w="3298" w:type="pct"/>
            <w:shd w:val="clear" w:color="auto" w:fill="auto"/>
            <w:tcMar>
              <w:top w:w="0" w:type="dxa"/>
              <w:bottom w:w="0" w:type="dxa"/>
            </w:tcMar>
            <w:vAlign w:val="center"/>
          </w:tcPr>
          <w:p w14:paraId="14C13996"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Operating fund of the Board of Directors and the Supervisory Board (5%)</w:t>
            </w:r>
          </w:p>
        </w:tc>
        <w:tc>
          <w:tcPr>
            <w:tcW w:w="1702" w:type="pct"/>
            <w:shd w:val="clear" w:color="auto" w:fill="auto"/>
            <w:tcMar>
              <w:top w:w="0" w:type="dxa"/>
              <w:bottom w:w="0" w:type="dxa"/>
            </w:tcMar>
            <w:vAlign w:val="center"/>
          </w:tcPr>
          <w:p w14:paraId="53CAD93A"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711,590,509</w:t>
            </w:r>
          </w:p>
        </w:tc>
      </w:tr>
      <w:tr w:rsidR="009D4740" w:rsidRPr="00851AE9" w14:paraId="679C0532" w14:textId="77777777" w:rsidTr="00D55316">
        <w:tc>
          <w:tcPr>
            <w:tcW w:w="3298" w:type="pct"/>
            <w:shd w:val="clear" w:color="auto" w:fill="auto"/>
            <w:tcMar>
              <w:top w:w="0" w:type="dxa"/>
              <w:bottom w:w="0" w:type="dxa"/>
            </w:tcMar>
            <w:vAlign w:val="center"/>
          </w:tcPr>
          <w:p w14:paraId="18F813CF"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Investment and development fund (the remaining)</w:t>
            </w:r>
          </w:p>
        </w:tc>
        <w:tc>
          <w:tcPr>
            <w:tcW w:w="1702" w:type="pct"/>
            <w:shd w:val="clear" w:color="auto" w:fill="auto"/>
            <w:tcMar>
              <w:top w:w="0" w:type="dxa"/>
              <w:bottom w:w="0" w:type="dxa"/>
            </w:tcMar>
            <w:vAlign w:val="center"/>
          </w:tcPr>
          <w:p w14:paraId="001CB017" w14:textId="77777777" w:rsidR="009D4740" w:rsidRPr="00851AE9" w:rsidRDefault="00D55316" w:rsidP="00D55316">
            <w:pPr>
              <w:spacing w:after="120" w:line="360" w:lineRule="auto"/>
              <w:rPr>
                <w:rFonts w:ascii="Arial" w:eastAsia="Arial" w:hAnsi="Arial" w:cs="Arial"/>
                <w:color w:val="010000"/>
                <w:sz w:val="20"/>
                <w:szCs w:val="20"/>
              </w:rPr>
            </w:pPr>
            <w:r w:rsidRPr="00851AE9">
              <w:rPr>
                <w:rFonts w:ascii="Arial" w:hAnsi="Arial" w:cs="Arial"/>
                <w:color w:val="010000"/>
                <w:sz w:val="20"/>
              </w:rPr>
              <w:t>5,418,544,135</w:t>
            </w:r>
          </w:p>
        </w:tc>
      </w:tr>
    </w:tbl>
    <w:p w14:paraId="67803AC3"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3.. The Company’s salary fund 2023</w:t>
      </w:r>
    </w:p>
    <w:tbl>
      <w:tblPr>
        <w:tblStyle w:va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532"/>
        <w:gridCol w:w="2377"/>
        <w:gridCol w:w="1964"/>
      </w:tblGrid>
      <w:tr w:rsidR="009D4740" w:rsidRPr="00851AE9" w14:paraId="6C1CFE79" w14:textId="77777777" w:rsidTr="00851AE9">
        <w:tc>
          <w:tcPr>
            <w:tcW w:w="1188" w:type="pct"/>
            <w:shd w:val="clear" w:color="auto" w:fill="auto"/>
            <w:tcMar>
              <w:top w:w="0" w:type="dxa"/>
              <w:bottom w:w="0" w:type="dxa"/>
            </w:tcMar>
            <w:vAlign w:val="center"/>
          </w:tcPr>
          <w:p w14:paraId="3D5B2CC6" w14:textId="77777777" w:rsidR="009D4740" w:rsidRPr="00851AE9" w:rsidRDefault="009D4740" w:rsidP="00D55316">
            <w:pPr>
              <w:spacing w:after="120" w:line="360" w:lineRule="auto"/>
              <w:rPr>
                <w:rFonts w:ascii="Arial" w:eastAsia="Arial" w:hAnsi="Arial" w:cs="Arial"/>
                <w:color w:val="010000"/>
                <w:sz w:val="20"/>
                <w:szCs w:val="20"/>
              </w:rPr>
            </w:pPr>
          </w:p>
        </w:tc>
        <w:tc>
          <w:tcPr>
            <w:tcW w:w="1404" w:type="pct"/>
            <w:shd w:val="clear" w:color="auto" w:fill="auto"/>
            <w:tcMar>
              <w:top w:w="0" w:type="dxa"/>
              <w:bottom w:w="0" w:type="dxa"/>
            </w:tcMar>
            <w:vAlign w:val="center"/>
          </w:tcPr>
          <w:p w14:paraId="6DD16AE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Total salary fund</w:t>
            </w:r>
          </w:p>
        </w:tc>
        <w:tc>
          <w:tcPr>
            <w:tcW w:w="1318" w:type="pct"/>
            <w:shd w:val="clear" w:color="auto" w:fill="auto"/>
            <w:tcMar>
              <w:top w:w="0" w:type="dxa"/>
              <w:bottom w:w="0" w:type="dxa"/>
            </w:tcMar>
            <w:vAlign w:val="center"/>
          </w:tcPr>
          <w:p w14:paraId="15FF7BAF"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 before tax</w:t>
            </w:r>
          </w:p>
        </w:tc>
        <w:tc>
          <w:tcPr>
            <w:tcW w:w="1089" w:type="pct"/>
            <w:shd w:val="clear" w:color="auto" w:fill="auto"/>
            <w:tcMar>
              <w:top w:w="0" w:type="dxa"/>
              <w:bottom w:w="0" w:type="dxa"/>
            </w:tcMar>
            <w:vAlign w:val="center"/>
          </w:tcPr>
          <w:p w14:paraId="0538B8F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Rate (Salary fund/ profit)</w:t>
            </w:r>
          </w:p>
        </w:tc>
      </w:tr>
      <w:tr w:rsidR="009D4740" w:rsidRPr="00851AE9" w14:paraId="347BE157" w14:textId="77777777" w:rsidTr="00851AE9">
        <w:tc>
          <w:tcPr>
            <w:tcW w:w="1188" w:type="pct"/>
            <w:shd w:val="clear" w:color="auto" w:fill="auto"/>
            <w:tcMar>
              <w:top w:w="0" w:type="dxa"/>
              <w:bottom w:w="0" w:type="dxa"/>
            </w:tcMar>
            <w:vAlign w:val="center"/>
          </w:tcPr>
          <w:p w14:paraId="2F5B55E1"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The whole company</w:t>
            </w:r>
          </w:p>
        </w:tc>
        <w:tc>
          <w:tcPr>
            <w:tcW w:w="1404" w:type="pct"/>
            <w:shd w:val="clear" w:color="auto" w:fill="auto"/>
            <w:tcMar>
              <w:top w:w="0" w:type="dxa"/>
              <w:bottom w:w="0" w:type="dxa"/>
            </w:tcMar>
            <w:vAlign w:val="center"/>
          </w:tcPr>
          <w:p w14:paraId="5DFA5E32"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70,866,781,935</w:t>
            </w:r>
          </w:p>
        </w:tc>
        <w:tc>
          <w:tcPr>
            <w:tcW w:w="1318" w:type="pct"/>
            <w:vMerge w:val="restart"/>
            <w:shd w:val="clear" w:color="auto" w:fill="auto"/>
            <w:tcMar>
              <w:top w:w="0" w:type="dxa"/>
              <w:bottom w:w="0" w:type="dxa"/>
            </w:tcMar>
            <w:vAlign w:val="center"/>
          </w:tcPr>
          <w:p w14:paraId="68FC8C9D"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18,170,969,727</w:t>
            </w:r>
          </w:p>
        </w:tc>
        <w:tc>
          <w:tcPr>
            <w:tcW w:w="1089" w:type="pct"/>
            <w:shd w:val="clear" w:color="auto" w:fill="auto"/>
            <w:tcMar>
              <w:top w:w="0" w:type="dxa"/>
              <w:bottom w:w="0" w:type="dxa"/>
            </w:tcMar>
            <w:vAlign w:val="center"/>
          </w:tcPr>
          <w:p w14:paraId="3BAB44D1"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390/100</w:t>
            </w:r>
          </w:p>
        </w:tc>
      </w:tr>
      <w:tr w:rsidR="009D4740" w:rsidRPr="00851AE9" w14:paraId="37F98A7E" w14:textId="77777777" w:rsidTr="00851AE9">
        <w:tc>
          <w:tcPr>
            <w:tcW w:w="1188" w:type="pct"/>
            <w:shd w:val="clear" w:color="auto" w:fill="auto"/>
            <w:tcMar>
              <w:top w:w="0" w:type="dxa"/>
              <w:bottom w:w="0" w:type="dxa"/>
            </w:tcMar>
            <w:vAlign w:val="center"/>
          </w:tcPr>
          <w:p w14:paraId="0F80912A"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 xml:space="preserve">The Board of Directors, </w:t>
            </w:r>
            <w:r w:rsidRPr="00851AE9">
              <w:rPr>
                <w:rFonts w:ascii="Arial" w:hAnsi="Arial" w:cs="Arial"/>
                <w:color w:val="010000"/>
                <w:sz w:val="20"/>
              </w:rPr>
              <w:lastRenderedPageBreak/>
              <w:t>the Supervisory Board</w:t>
            </w:r>
          </w:p>
        </w:tc>
        <w:tc>
          <w:tcPr>
            <w:tcW w:w="1404" w:type="pct"/>
            <w:shd w:val="clear" w:color="auto" w:fill="auto"/>
            <w:tcMar>
              <w:top w:w="0" w:type="dxa"/>
              <w:bottom w:w="0" w:type="dxa"/>
            </w:tcMar>
            <w:vAlign w:val="center"/>
          </w:tcPr>
          <w:p w14:paraId="524DA178"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lastRenderedPageBreak/>
              <w:t>1,453,677,578</w:t>
            </w:r>
          </w:p>
        </w:tc>
        <w:tc>
          <w:tcPr>
            <w:tcW w:w="1318" w:type="pct"/>
            <w:vMerge/>
            <w:shd w:val="clear" w:color="auto" w:fill="auto"/>
            <w:tcMar>
              <w:top w:w="0" w:type="dxa"/>
              <w:bottom w:w="0" w:type="dxa"/>
            </w:tcMar>
            <w:vAlign w:val="center"/>
          </w:tcPr>
          <w:p w14:paraId="07384EB1" w14:textId="77777777" w:rsidR="009D4740" w:rsidRPr="00851AE9" w:rsidRDefault="009D4740" w:rsidP="00D55316">
            <w:pPr>
              <w:pBdr>
                <w:top w:val="nil"/>
                <w:left w:val="nil"/>
                <w:bottom w:val="nil"/>
                <w:right w:val="nil"/>
                <w:between w:val="nil"/>
              </w:pBdr>
              <w:spacing w:after="120" w:line="360" w:lineRule="auto"/>
              <w:rPr>
                <w:rFonts w:ascii="Arial" w:eastAsia="Arial" w:hAnsi="Arial" w:cs="Arial"/>
                <w:color w:val="010000"/>
                <w:sz w:val="20"/>
                <w:szCs w:val="20"/>
              </w:rPr>
            </w:pPr>
          </w:p>
        </w:tc>
        <w:tc>
          <w:tcPr>
            <w:tcW w:w="1089" w:type="pct"/>
            <w:shd w:val="clear" w:color="auto" w:fill="auto"/>
            <w:tcMar>
              <w:top w:w="0" w:type="dxa"/>
              <w:bottom w:w="0" w:type="dxa"/>
            </w:tcMar>
            <w:vAlign w:val="center"/>
          </w:tcPr>
          <w:p w14:paraId="162F8477"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8/100</w:t>
            </w:r>
          </w:p>
        </w:tc>
      </w:tr>
    </w:tbl>
    <w:p w14:paraId="7B42E5A0" w14:textId="77777777" w:rsidR="009D4740" w:rsidRPr="00851AE9" w:rsidRDefault="00D55316" w:rsidP="00D55316">
      <w:pPr>
        <w:keepNext/>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lastRenderedPageBreak/>
        <w:t>Article 2: Approve the plan on business and production and the profit distribution plan for 2024</w:t>
      </w:r>
    </w:p>
    <w:p w14:paraId="507033DE"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 Targets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10"/>
        <w:gridCol w:w="5406"/>
      </w:tblGrid>
      <w:tr w:rsidR="009D4740" w:rsidRPr="00851AE9" w14:paraId="16B5D540" w14:textId="77777777" w:rsidTr="00D55316">
        <w:tc>
          <w:tcPr>
            <w:tcW w:w="2002" w:type="pct"/>
            <w:shd w:val="clear" w:color="auto" w:fill="auto"/>
            <w:tcMar>
              <w:top w:w="0" w:type="dxa"/>
              <w:bottom w:w="0" w:type="dxa"/>
            </w:tcMar>
            <w:vAlign w:val="center"/>
          </w:tcPr>
          <w:p w14:paraId="7B82B884"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Revenue</w:t>
            </w:r>
          </w:p>
        </w:tc>
        <w:tc>
          <w:tcPr>
            <w:tcW w:w="2998" w:type="pct"/>
            <w:shd w:val="clear" w:color="auto" w:fill="auto"/>
            <w:tcMar>
              <w:top w:w="0" w:type="dxa"/>
              <w:bottom w:w="0" w:type="dxa"/>
            </w:tcMar>
            <w:vAlign w:val="center"/>
          </w:tcPr>
          <w:p w14:paraId="60ED9D3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433 billion</w:t>
            </w:r>
          </w:p>
        </w:tc>
      </w:tr>
      <w:tr w:rsidR="009D4740" w:rsidRPr="00851AE9" w14:paraId="344357F7" w14:textId="77777777" w:rsidTr="00D55316">
        <w:tc>
          <w:tcPr>
            <w:tcW w:w="2002" w:type="pct"/>
            <w:shd w:val="clear" w:color="auto" w:fill="auto"/>
            <w:tcMar>
              <w:top w:w="0" w:type="dxa"/>
              <w:bottom w:w="0" w:type="dxa"/>
            </w:tcMar>
            <w:vAlign w:val="center"/>
          </w:tcPr>
          <w:p w14:paraId="58C2B28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Profit</w:t>
            </w:r>
          </w:p>
        </w:tc>
        <w:tc>
          <w:tcPr>
            <w:tcW w:w="2998" w:type="pct"/>
            <w:shd w:val="clear" w:color="auto" w:fill="auto"/>
            <w:tcMar>
              <w:top w:w="0" w:type="dxa"/>
              <w:bottom w:w="0" w:type="dxa"/>
            </w:tcMar>
            <w:vAlign w:val="center"/>
          </w:tcPr>
          <w:p w14:paraId="40486479" w14:textId="2F31B23F"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19</w:t>
            </w:r>
            <w:r w:rsidR="00851AE9" w:rsidRPr="00851AE9">
              <w:rPr>
                <w:rFonts w:ascii="Arial" w:hAnsi="Arial" w:cs="Arial"/>
                <w:color w:val="010000"/>
                <w:sz w:val="20"/>
              </w:rPr>
              <w:t>.</w:t>
            </w:r>
            <w:r w:rsidRPr="00851AE9">
              <w:rPr>
                <w:rFonts w:ascii="Arial" w:hAnsi="Arial" w:cs="Arial"/>
                <w:color w:val="010000"/>
                <w:sz w:val="20"/>
              </w:rPr>
              <w:t>2 billion</w:t>
            </w:r>
          </w:p>
        </w:tc>
      </w:tr>
    </w:tbl>
    <w:p w14:paraId="169268B0" w14:textId="77777777" w:rsidR="009D4740" w:rsidRPr="00851AE9" w:rsidRDefault="00D55316" w:rsidP="00D55316">
      <w:pPr>
        <w:numPr>
          <w:ilvl w:val="0"/>
          <w:numId w:val="3"/>
        </w:numPr>
        <w:pBdr>
          <w:top w:val="nil"/>
          <w:left w:val="nil"/>
          <w:bottom w:val="nil"/>
          <w:right w:val="nil"/>
          <w:between w:val="nil"/>
        </w:pBdr>
        <w:tabs>
          <w:tab w:val="left" w:pos="284"/>
          <w:tab w:val="left" w:pos="905"/>
        </w:tabs>
        <w:spacing w:after="120" w:line="360" w:lineRule="auto"/>
        <w:rPr>
          <w:rFonts w:ascii="Arial" w:eastAsia="Arial" w:hAnsi="Arial" w:cs="Arial"/>
          <w:color w:val="010000"/>
          <w:sz w:val="20"/>
          <w:szCs w:val="20"/>
        </w:rPr>
      </w:pPr>
      <w:r w:rsidRPr="00851AE9">
        <w:rPr>
          <w:rFonts w:ascii="Arial" w:hAnsi="Arial" w:cs="Arial"/>
          <w:color w:val="010000"/>
          <w:sz w:val="20"/>
        </w:rPr>
        <w:t>Profit after tax distribution plan:</w:t>
      </w:r>
    </w:p>
    <w:p w14:paraId="09C6E622" w14:textId="77777777" w:rsidR="009D4740" w:rsidRPr="00851AE9" w:rsidRDefault="00D55316" w:rsidP="00D55316">
      <w:pPr>
        <w:pBdr>
          <w:top w:val="nil"/>
          <w:left w:val="nil"/>
          <w:bottom w:val="nil"/>
          <w:right w:val="nil"/>
          <w:between w:val="nil"/>
        </w:pBdr>
        <w:tabs>
          <w:tab w:val="left" w:pos="5012"/>
        </w:tabs>
        <w:spacing w:after="120" w:line="360" w:lineRule="auto"/>
        <w:rPr>
          <w:rFonts w:ascii="Arial" w:eastAsia="Arial" w:hAnsi="Arial" w:cs="Arial"/>
          <w:color w:val="010000"/>
          <w:sz w:val="20"/>
          <w:szCs w:val="20"/>
        </w:rPr>
      </w:pPr>
      <w:r w:rsidRPr="00851AE9">
        <w:rPr>
          <w:rFonts w:ascii="Arial" w:hAnsi="Arial" w:cs="Arial"/>
          <w:color w:val="010000"/>
          <w:sz w:val="20"/>
        </w:rPr>
        <w:t>Dividends:</w:t>
      </w:r>
      <w:r w:rsidRPr="00851AE9">
        <w:rPr>
          <w:rFonts w:ascii="Arial" w:hAnsi="Arial" w:cs="Arial"/>
          <w:color w:val="010000"/>
          <w:sz w:val="20"/>
        </w:rPr>
        <w:tab/>
        <w:t>15% Charter capital</w:t>
      </w:r>
    </w:p>
    <w:p w14:paraId="2E7750B0" w14:textId="77777777" w:rsidR="009D4740" w:rsidRPr="00851AE9" w:rsidRDefault="00D55316" w:rsidP="00D55316">
      <w:pPr>
        <w:pBdr>
          <w:top w:val="nil"/>
          <w:left w:val="nil"/>
          <w:bottom w:val="nil"/>
          <w:right w:val="nil"/>
          <w:between w:val="nil"/>
        </w:pBdr>
        <w:tabs>
          <w:tab w:val="left" w:pos="5012"/>
        </w:tabs>
        <w:spacing w:after="120" w:line="360" w:lineRule="auto"/>
        <w:rPr>
          <w:rFonts w:ascii="Arial" w:eastAsia="Arial" w:hAnsi="Arial" w:cs="Arial"/>
          <w:color w:val="010000"/>
          <w:sz w:val="20"/>
          <w:szCs w:val="20"/>
        </w:rPr>
      </w:pPr>
      <w:r w:rsidRPr="00851AE9">
        <w:rPr>
          <w:rFonts w:ascii="Arial" w:hAnsi="Arial" w:cs="Arial"/>
          <w:color w:val="010000"/>
          <w:sz w:val="20"/>
        </w:rPr>
        <w:t>Bonus fund:</w:t>
      </w:r>
      <w:r w:rsidRPr="00851AE9">
        <w:rPr>
          <w:rFonts w:ascii="Arial" w:hAnsi="Arial" w:cs="Arial"/>
          <w:color w:val="010000"/>
          <w:sz w:val="20"/>
        </w:rPr>
        <w:tab/>
        <w:t>5% Profit after tax</w:t>
      </w:r>
    </w:p>
    <w:p w14:paraId="325F3B77" w14:textId="77777777" w:rsidR="009D4740" w:rsidRPr="00851AE9" w:rsidRDefault="00D55316" w:rsidP="00D55316">
      <w:pPr>
        <w:pBdr>
          <w:top w:val="nil"/>
          <w:left w:val="nil"/>
          <w:bottom w:val="nil"/>
          <w:right w:val="nil"/>
          <w:between w:val="nil"/>
        </w:pBdr>
        <w:tabs>
          <w:tab w:val="left" w:pos="5012"/>
        </w:tabs>
        <w:spacing w:after="120" w:line="360" w:lineRule="auto"/>
        <w:rPr>
          <w:rFonts w:ascii="Arial" w:eastAsia="Arial" w:hAnsi="Arial" w:cs="Arial"/>
          <w:color w:val="010000"/>
          <w:sz w:val="20"/>
          <w:szCs w:val="20"/>
        </w:rPr>
      </w:pPr>
      <w:r w:rsidRPr="00851AE9">
        <w:rPr>
          <w:rFonts w:ascii="Arial" w:hAnsi="Arial" w:cs="Arial"/>
          <w:color w:val="010000"/>
          <w:sz w:val="20"/>
        </w:rPr>
        <w:t>Welfare fund:</w:t>
      </w:r>
      <w:r w:rsidRPr="00851AE9">
        <w:rPr>
          <w:rFonts w:ascii="Arial" w:hAnsi="Arial" w:cs="Arial"/>
          <w:color w:val="010000"/>
          <w:sz w:val="20"/>
        </w:rPr>
        <w:tab/>
        <w:t>10% Profit after tax</w:t>
      </w:r>
    </w:p>
    <w:p w14:paraId="0A7921AB" w14:textId="239B17DA" w:rsidR="009D4740" w:rsidRPr="00851AE9" w:rsidRDefault="00D55316" w:rsidP="00D55316">
      <w:pPr>
        <w:pBdr>
          <w:top w:val="nil"/>
          <w:left w:val="nil"/>
          <w:bottom w:val="nil"/>
          <w:right w:val="nil"/>
          <w:between w:val="nil"/>
        </w:pBdr>
        <w:tabs>
          <w:tab w:val="left" w:pos="5012"/>
        </w:tabs>
        <w:spacing w:after="120" w:line="360" w:lineRule="auto"/>
        <w:rPr>
          <w:rFonts w:ascii="Arial" w:eastAsia="Arial" w:hAnsi="Arial" w:cs="Arial"/>
          <w:color w:val="010000"/>
          <w:sz w:val="20"/>
          <w:szCs w:val="20"/>
        </w:rPr>
      </w:pPr>
      <w:r w:rsidRPr="00851AE9">
        <w:rPr>
          <w:rFonts w:ascii="Arial" w:hAnsi="Arial" w:cs="Arial"/>
          <w:color w:val="010000"/>
          <w:sz w:val="20"/>
        </w:rPr>
        <w:t>Operating fund of the Board of Directors and the Supervisory Board:</w:t>
      </w:r>
      <w:r w:rsidRPr="00851AE9">
        <w:rPr>
          <w:rFonts w:ascii="Arial" w:hAnsi="Arial" w:cs="Arial"/>
          <w:color w:val="010000"/>
          <w:sz w:val="20"/>
        </w:rPr>
        <w:tab/>
        <w:t>5% Profit after tax</w:t>
      </w:r>
    </w:p>
    <w:p w14:paraId="640D6400" w14:textId="77777777" w:rsidR="009D4740" w:rsidRPr="00851AE9" w:rsidRDefault="00D55316" w:rsidP="00D55316">
      <w:pPr>
        <w:pBdr>
          <w:top w:val="nil"/>
          <w:left w:val="nil"/>
          <w:bottom w:val="nil"/>
          <w:right w:val="nil"/>
          <w:between w:val="nil"/>
        </w:pBdr>
        <w:tabs>
          <w:tab w:val="left" w:pos="5012"/>
        </w:tabs>
        <w:spacing w:after="120" w:line="360" w:lineRule="auto"/>
        <w:rPr>
          <w:rFonts w:ascii="Arial" w:eastAsia="Arial" w:hAnsi="Arial" w:cs="Arial"/>
          <w:color w:val="010000"/>
          <w:sz w:val="20"/>
          <w:szCs w:val="20"/>
        </w:rPr>
      </w:pPr>
      <w:r w:rsidRPr="00851AE9">
        <w:rPr>
          <w:rFonts w:ascii="Arial" w:hAnsi="Arial" w:cs="Arial"/>
          <w:color w:val="010000"/>
          <w:sz w:val="20"/>
        </w:rPr>
        <w:t>Development and investment fund:</w:t>
      </w:r>
      <w:r w:rsidRPr="00851AE9">
        <w:rPr>
          <w:rFonts w:ascii="Arial" w:hAnsi="Arial" w:cs="Arial"/>
          <w:color w:val="010000"/>
          <w:sz w:val="20"/>
        </w:rPr>
        <w:tab/>
        <w:t xml:space="preserve">The remaining profit </w:t>
      </w:r>
    </w:p>
    <w:p w14:paraId="70C24DC1" w14:textId="77777777" w:rsidR="009D4740" w:rsidRPr="00851AE9" w:rsidRDefault="00D55316" w:rsidP="00D55316">
      <w:pPr>
        <w:numPr>
          <w:ilvl w:val="0"/>
          <w:numId w:val="3"/>
        </w:numPr>
        <w:pBdr>
          <w:top w:val="nil"/>
          <w:left w:val="nil"/>
          <w:bottom w:val="nil"/>
          <w:right w:val="nil"/>
          <w:between w:val="nil"/>
        </w:pBdr>
        <w:tabs>
          <w:tab w:val="left" w:pos="284"/>
          <w:tab w:val="left" w:pos="905"/>
        </w:tabs>
        <w:spacing w:after="120" w:line="360" w:lineRule="auto"/>
        <w:rPr>
          <w:rFonts w:ascii="Arial" w:eastAsia="Arial" w:hAnsi="Arial" w:cs="Arial"/>
          <w:color w:val="010000"/>
          <w:sz w:val="20"/>
          <w:szCs w:val="20"/>
        </w:rPr>
      </w:pPr>
      <w:r w:rsidRPr="00851AE9">
        <w:rPr>
          <w:rFonts w:ascii="Arial" w:hAnsi="Arial" w:cs="Arial"/>
          <w:color w:val="010000"/>
          <w:sz w:val="20"/>
        </w:rPr>
        <w:t>Plan on salary fund 2024</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1"/>
        <w:gridCol w:w="4425"/>
      </w:tblGrid>
      <w:tr w:rsidR="009D4740" w:rsidRPr="00851AE9" w14:paraId="16FA8F2E" w14:textId="77777777" w:rsidTr="00D55316">
        <w:tc>
          <w:tcPr>
            <w:tcW w:w="2546" w:type="pct"/>
            <w:shd w:val="clear" w:color="auto" w:fill="auto"/>
            <w:tcMar>
              <w:top w:w="0" w:type="dxa"/>
              <w:bottom w:w="0" w:type="dxa"/>
            </w:tcMar>
            <w:vAlign w:val="center"/>
          </w:tcPr>
          <w:p w14:paraId="692DEBAF"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Targets</w:t>
            </w:r>
          </w:p>
        </w:tc>
        <w:tc>
          <w:tcPr>
            <w:tcW w:w="2454" w:type="pct"/>
            <w:shd w:val="clear" w:color="auto" w:fill="auto"/>
            <w:tcMar>
              <w:top w:w="0" w:type="dxa"/>
              <w:bottom w:w="0" w:type="dxa"/>
            </w:tcMar>
            <w:vAlign w:val="center"/>
          </w:tcPr>
          <w:p w14:paraId="21B77B1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Rate (Salary fund/ profit)</w:t>
            </w:r>
          </w:p>
        </w:tc>
      </w:tr>
      <w:tr w:rsidR="009D4740" w:rsidRPr="00851AE9" w14:paraId="6942F40A" w14:textId="77777777" w:rsidTr="00D55316">
        <w:tc>
          <w:tcPr>
            <w:tcW w:w="2546" w:type="pct"/>
            <w:shd w:val="clear" w:color="auto" w:fill="auto"/>
            <w:tcMar>
              <w:top w:w="0" w:type="dxa"/>
              <w:bottom w:w="0" w:type="dxa"/>
            </w:tcMar>
            <w:vAlign w:val="center"/>
          </w:tcPr>
          <w:p w14:paraId="25539F6B"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Salary fund of the whole company</w:t>
            </w:r>
          </w:p>
        </w:tc>
        <w:tc>
          <w:tcPr>
            <w:tcW w:w="2454" w:type="pct"/>
            <w:shd w:val="clear" w:color="auto" w:fill="auto"/>
            <w:tcMar>
              <w:top w:w="0" w:type="dxa"/>
              <w:bottom w:w="0" w:type="dxa"/>
            </w:tcMar>
            <w:vAlign w:val="center"/>
          </w:tcPr>
          <w:p w14:paraId="14179F32"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390/100</w:t>
            </w:r>
          </w:p>
        </w:tc>
      </w:tr>
      <w:tr w:rsidR="009D4740" w:rsidRPr="00851AE9" w14:paraId="6C65A12E" w14:textId="77777777" w:rsidTr="00D55316">
        <w:tc>
          <w:tcPr>
            <w:tcW w:w="2546" w:type="pct"/>
            <w:shd w:val="clear" w:color="auto" w:fill="auto"/>
            <w:tcMar>
              <w:top w:w="0" w:type="dxa"/>
              <w:bottom w:w="0" w:type="dxa"/>
            </w:tcMar>
            <w:vAlign w:val="center"/>
          </w:tcPr>
          <w:p w14:paraId="48990A49"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 xml:space="preserve">Salary fund of the Board of Directors and the Supervisory Board </w:t>
            </w:r>
          </w:p>
        </w:tc>
        <w:tc>
          <w:tcPr>
            <w:tcW w:w="2454" w:type="pct"/>
            <w:shd w:val="clear" w:color="auto" w:fill="auto"/>
            <w:tcMar>
              <w:top w:w="0" w:type="dxa"/>
              <w:bottom w:w="0" w:type="dxa"/>
            </w:tcMar>
            <w:vAlign w:val="center"/>
          </w:tcPr>
          <w:p w14:paraId="322C6684" w14:textId="77777777" w:rsidR="009D4740" w:rsidRPr="00851AE9" w:rsidRDefault="00D55316" w:rsidP="00D55316">
            <w:pPr>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8/100</w:t>
            </w:r>
          </w:p>
        </w:tc>
      </w:tr>
    </w:tbl>
    <w:p w14:paraId="2446C9A8" w14:textId="77777777" w:rsidR="009D4740" w:rsidRPr="00851AE9" w:rsidRDefault="00D55316" w:rsidP="00D55316">
      <w:pPr>
        <w:keepNext/>
        <w:pBdr>
          <w:top w:val="nil"/>
          <w:left w:val="nil"/>
          <w:bottom w:val="nil"/>
          <w:right w:val="nil"/>
          <w:between w:val="nil"/>
        </w:pBdr>
        <w:spacing w:after="120" w:line="360" w:lineRule="auto"/>
        <w:rPr>
          <w:rFonts w:ascii="Arial" w:eastAsia="Arial" w:hAnsi="Arial" w:cs="Arial"/>
          <w:color w:val="010000"/>
          <w:sz w:val="20"/>
          <w:szCs w:val="20"/>
        </w:rPr>
      </w:pPr>
      <w:r w:rsidRPr="00851AE9">
        <w:rPr>
          <w:rFonts w:ascii="Arial" w:hAnsi="Arial" w:cs="Arial"/>
          <w:color w:val="010000"/>
          <w:sz w:val="20"/>
        </w:rPr>
        <w:t>Article 3: Approve the Report on activities in 2023 and the operation plan for 2024 of the Board of Directors</w:t>
      </w:r>
    </w:p>
    <w:p w14:paraId="4AB30AE5"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 xml:space="preserve">Article 4: Approve the Report on activities in 2023 and the </w:t>
      </w:r>
      <w:bookmarkStart w:id="0" w:name="_GoBack"/>
      <w:r w:rsidRPr="00851AE9">
        <w:rPr>
          <w:rFonts w:ascii="Arial" w:hAnsi="Arial" w:cs="Arial"/>
          <w:color w:val="010000"/>
          <w:sz w:val="20"/>
        </w:rPr>
        <w:t>operation plan for 2024 of the Supervisory Board</w:t>
      </w:r>
    </w:p>
    <w:p w14:paraId="51B5DD5D"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Article 5: Approve the Report on activities in 2023 and the operation plan for 2024 of the Executive Board</w:t>
      </w:r>
    </w:p>
    <w:p w14:paraId="48FA2163"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Article 6: Approve the Audited Financial Statements of 2023</w:t>
      </w:r>
    </w:p>
    <w:p w14:paraId="3EDF9C52" w14:textId="77777777" w:rsidR="009D4740" w:rsidRPr="00851AE9" w:rsidRDefault="00D55316" w:rsidP="00CA0209">
      <w:pPr>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 xml:space="preserve">The Report’s content was disclosed at the time it was finished in accordance with the provisions of the Law on Securities </w:t>
      </w:r>
    </w:p>
    <w:p w14:paraId="237CC8F6" w14:textId="77777777" w:rsidR="009D4740" w:rsidRPr="00851AE9" w:rsidRDefault="00D55316" w:rsidP="00CA0209">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Article 7: Approve the selection of an Audit company for 2024</w:t>
      </w:r>
    </w:p>
    <w:p w14:paraId="053650AD" w14:textId="77777777" w:rsidR="009D4740" w:rsidRPr="00851AE9" w:rsidRDefault="00D55316" w:rsidP="00CA0209">
      <w:pPr>
        <w:pBdr>
          <w:top w:val="nil"/>
          <w:left w:val="nil"/>
          <w:bottom w:val="nil"/>
          <w:right w:val="nil"/>
          <w:between w:val="nil"/>
        </w:pBdr>
        <w:spacing w:after="120" w:line="360" w:lineRule="auto"/>
        <w:jc w:val="both"/>
        <w:rPr>
          <w:rFonts w:ascii="Arial" w:eastAsia="Arial" w:hAnsi="Arial" w:cs="Arial"/>
          <w:color w:val="010000"/>
          <w:sz w:val="20"/>
          <w:szCs w:val="20"/>
        </w:rPr>
      </w:pPr>
      <w:r w:rsidRPr="00851AE9">
        <w:rPr>
          <w:rFonts w:ascii="Arial" w:hAnsi="Arial" w:cs="Arial"/>
          <w:color w:val="010000"/>
          <w:sz w:val="20"/>
        </w:rPr>
        <w:t>The General Meeting of Shareholders authorizes the Board of Directors to select an audit company for 2024</w:t>
      </w:r>
    </w:p>
    <w:p w14:paraId="0FC19F05" w14:textId="77777777" w:rsidR="009D4740" w:rsidRPr="00851AE9" w:rsidRDefault="00D55316" w:rsidP="00CA0209">
      <w:pPr>
        <w:pBdr>
          <w:top w:val="nil"/>
          <w:left w:val="nil"/>
          <w:bottom w:val="nil"/>
          <w:right w:val="nil"/>
          <w:between w:val="nil"/>
        </w:pBdr>
        <w:tabs>
          <w:tab w:val="left" w:pos="9299"/>
        </w:tabs>
        <w:spacing w:after="120" w:line="360" w:lineRule="auto"/>
        <w:jc w:val="both"/>
        <w:rPr>
          <w:rFonts w:ascii="Arial" w:eastAsia="Arial" w:hAnsi="Arial" w:cs="Arial"/>
          <w:color w:val="010000"/>
          <w:sz w:val="20"/>
          <w:szCs w:val="20"/>
        </w:rPr>
      </w:pPr>
      <w:r w:rsidRPr="00851AE9">
        <w:rPr>
          <w:rFonts w:ascii="Arial" w:hAnsi="Arial" w:cs="Arial"/>
          <w:color w:val="010000"/>
          <w:sz w:val="20"/>
        </w:rPr>
        <w:t>Article 8: This General Mandate was approved by the Annual General Meeting of Shareholders 2024. Members of the Board of Directors, the Board of Managers, and related departments are responsible for implementing this Resolution.</w:t>
      </w:r>
    </w:p>
    <w:p w14:paraId="11FE2FB4" w14:textId="5941C83E" w:rsidR="009D4740" w:rsidRPr="00851AE9" w:rsidRDefault="00D55316" w:rsidP="00CA0209">
      <w:pPr>
        <w:pBdr>
          <w:top w:val="nil"/>
          <w:left w:val="nil"/>
          <w:bottom w:val="nil"/>
          <w:right w:val="nil"/>
          <w:between w:val="nil"/>
        </w:pBdr>
        <w:tabs>
          <w:tab w:val="left" w:pos="9299"/>
        </w:tabs>
        <w:spacing w:after="120" w:line="360" w:lineRule="auto"/>
        <w:jc w:val="both"/>
        <w:rPr>
          <w:rFonts w:ascii="Arial" w:eastAsia="Arial" w:hAnsi="Arial" w:cs="Arial"/>
          <w:color w:val="010000"/>
          <w:sz w:val="20"/>
          <w:szCs w:val="20"/>
        </w:rPr>
      </w:pPr>
      <w:r w:rsidRPr="00851AE9">
        <w:rPr>
          <w:rFonts w:ascii="Arial" w:hAnsi="Arial" w:cs="Arial"/>
          <w:color w:val="010000"/>
          <w:sz w:val="20"/>
        </w:rPr>
        <w:t xml:space="preserve">Article 9: This </w:t>
      </w:r>
      <w:r w:rsidR="00851AE9" w:rsidRPr="00851AE9">
        <w:rPr>
          <w:rFonts w:ascii="Arial" w:hAnsi="Arial" w:cs="Arial"/>
          <w:color w:val="010000"/>
          <w:sz w:val="20"/>
        </w:rPr>
        <w:t xml:space="preserve">General Mandate </w:t>
      </w:r>
      <w:r w:rsidRPr="00851AE9">
        <w:rPr>
          <w:rFonts w:ascii="Arial" w:hAnsi="Arial" w:cs="Arial"/>
          <w:color w:val="010000"/>
          <w:sz w:val="20"/>
        </w:rPr>
        <w:t>takes effect from the date of its signing.</w:t>
      </w:r>
      <w:bookmarkEnd w:id="0"/>
    </w:p>
    <w:sectPr w:rsidR="009D4740" w:rsidRPr="00851AE9" w:rsidSect="00D5531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7D7"/>
    <w:multiLevelType w:val="multilevel"/>
    <w:tmpl w:val="C464A574"/>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027B2"/>
    <w:multiLevelType w:val="multilevel"/>
    <w:tmpl w:val="A5EE40A8"/>
    <w:lvl w:ilvl="0">
      <w:start w:val="1"/>
      <w:numFmt w:val="bullet"/>
      <w:lvlText w:val="-"/>
      <w:lvlJc w:val="left"/>
      <w:pPr>
        <w:ind w:left="720" w:hanging="72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E2219F"/>
    <w:multiLevelType w:val="multilevel"/>
    <w:tmpl w:val="0D8625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40"/>
    <w:rsid w:val="00851AE9"/>
    <w:rsid w:val="009D4740"/>
    <w:rsid w:val="00CA0209"/>
    <w:rsid w:val="00D5531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32662"/>
  <w15:docId w15:val="{28A32470-D27D-4051-9690-B0B3D01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b/>
      <w:bCs/>
      <w:sz w:val="20"/>
      <w:szCs w:val="20"/>
    </w:rPr>
  </w:style>
  <w:style w:type="paragraph" w:styleId="BodyText">
    <w:name w:val="Body Text"/>
    <w:basedOn w:val="Normal"/>
    <w:link w:val="BodyTextChar"/>
    <w:qFormat/>
    <w:pPr>
      <w:spacing w:line="336" w:lineRule="auto"/>
      <w:ind w:firstLine="20"/>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Other0">
    <w:name w:val="Other"/>
    <w:basedOn w:val="Normal"/>
    <w:link w:val="Other"/>
    <w:pPr>
      <w:spacing w:line="336" w:lineRule="auto"/>
      <w:ind w:firstLine="20"/>
    </w:pPr>
    <w:rPr>
      <w:rFonts w:ascii="Times New Roman" w:eastAsia="Times New Roman" w:hAnsi="Times New Roman" w:cs="Times New Roman"/>
    </w:rPr>
  </w:style>
  <w:style w:type="paragraph" w:customStyle="1" w:styleId="Heading11">
    <w:name w:val="Heading #1"/>
    <w:basedOn w:val="Normal"/>
    <w:link w:val="Heading10"/>
    <w:pPr>
      <w:spacing w:line="406" w:lineRule="auto"/>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spacing w:line="331" w:lineRule="auto"/>
      <w:outlineLvl w:val="1"/>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v3EtUuNIWIHztDh+ODOFPLjvw==">CgMxLjA4AHIhMXdaZlAzbEJrdnRHb3lNa3ZTT3llUThxa01Nd3RONmlP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2024-04-22T04:22:00Z</dcterms:created>
  <dcterms:modified xsi:type="dcterms:W3CDTF">2024-04-24T03:36:00Z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84bec3464ed2a7150985cb116fcc258d6a3d8280f775f165c88dcba14f5292d3</vt:lpwstr>
  </property>
</Properties>
</file>