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A236F" w14:textId="77777777" w:rsidR="00722524" w:rsidRPr="009D4514" w:rsidRDefault="007470E7" w:rsidP="007470E7">
      <w:pPr>
        <w:pBdr>
          <w:top w:val="nil"/>
          <w:left w:val="nil"/>
          <w:bottom w:val="nil"/>
          <w:right w:val="nil"/>
          <w:between w:val="nil"/>
        </w:pBdr>
        <w:spacing w:after="120" w:line="360" w:lineRule="auto"/>
        <w:rPr>
          <w:rFonts w:ascii="Arial" w:eastAsia="Arial" w:hAnsi="Arial" w:cs="Arial"/>
          <w:b/>
          <w:color w:val="010000"/>
          <w:sz w:val="20"/>
          <w:szCs w:val="20"/>
        </w:rPr>
      </w:pPr>
      <w:r w:rsidRPr="009D4514">
        <w:rPr>
          <w:rFonts w:ascii="Arial" w:hAnsi="Arial" w:cs="Arial"/>
          <w:b/>
          <w:bCs/>
          <w:color w:val="010000"/>
          <w:sz w:val="20"/>
        </w:rPr>
        <w:t>DP1:</w:t>
      </w:r>
      <w:r w:rsidRPr="009D4514">
        <w:rPr>
          <w:rFonts w:ascii="Arial" w:hAnsi="Arial" w:cs="Arial"/>
          <w:b/>
          <w:color w:val="010000"/>
          <w:sz w:val="20"/>
        </w:rPr>
        <w:t xml:space="preserve"> Board Resolution</w:t>
      </w:r>
    </w:p>
    <w:p w14:paraId="3B6A2370" w14:textId="77777777" w:rsidR="00722524" w:rsidRPr="009D4514" w:rsidRDefault="007470E7" w:rsidP="007470E7">
      <w:pPr>
        <w:pBdr>
          <w:top w:val="nil"/>
          <w:left w:val="nil"/>
          <w:bottom w:val="nil"/>
          <w:right w:val="nil"/>
          <w:between w:val="nil"/>
        </w:pBdr>
        <w:spacing w:after="120" w:line="360" w:lineRule="auto"/>
        <w:rPr>
          <w:rFonts w:ascii="Arial" w:eastAsia="Arial" w:hAnsi="Arial" w:cs="Arial"/>
          <w:color w:val="010000"/>
          <w:sz w:val="20"/>
          <w:szCs w:val="20"/>
        </w:rPr>
      </w:pPr>
      <w:r w:rsidRPr="009D4514">
        <w:rPr>
          <w:rFonts w:ascii="Arial" w:hAnsi="Arial" w:cs="Arial"/>
          <w:color w:val="010000"/>
          <w:sz w:val="20"/>
        </w:rPr>
        <w:t>On April 19, 2024, Central Pharmaceutical CPC1.JSC announced Resolution No. 23/NQHDQT-CPC1 on approving contracts and transactions between the Company and affiliated persons in 2024 as follows:</w:t>
      </w:r>
    </w:p>
    <w:p w14:paraId="3B6A2371" w14:textId="77777777" w:rsidR="00722524" w:rsidRPr="009D4514" w:rsidRDefault="007470E7" w:rsidP="007470E7">
      <w:pPr>
        <w:pBdr>
          <w:top w:val="nil"/>
          <w:left w:val="nil"/>
          <w:bottom w:val="nil"/>
          <w:right w:val="nil"/>
          <w:between w:val="nil"/>
        </w:pBdr>
        <w:spacing w:after="120" w:line="360" w:lineRule="auto"/>
        <w:rPr>
          <w:rFonts w:ascii="Arial" w:eastAsia="Arial" w:hAnsi="Arial" w:cs="Arial"/>
          <w:color w:val="010000"/>
          <w:sz w:val="20"/>
          <w:szCs w:val="20"/>
        </w:rPr>
      </w:pPr>
      <w:r w:rsidRPr="009D4514">
        <w:rPr>
          <w:rFonts w:ascii="Arial" w:hAnsi="Arial" w:cs="Arial"/>
          <w:color w:val="010000"/>
          <w:sz w:val="20"/>
        </w:rPr>
        <w:t>‎‎Article 1. Approve the contents of Proposal No. 688/TTr-CPC1 dated April 15, 2024 of the General Manager on approving the contracts and transactions between the Company and PDMR and affiliated persons (“Transaction with affiliated persons”) arising in 2024 that satisfy the following conditions:</w:t>
      </w:r>
    </w:p>
    <w:p w14:paraId="3B6A2372" w14:textId="1BF7F1CE" w:rsidR="00722524" w:rsidRPr="009D4514" w:rsidRDefault="007470E7" w:rsidP="007470E7">
      <w:pPr>
        <w:numPr>
          <w:ilvl w:val="0"/>
          <w:numId w:val="1"/>
        </w:numPr>
        <w:pBdr>
          <w:top w:val="nil"/>
          <w:left w:val="nil"/>
          <w:bottom w:val="nil"/>
          <w:right w:val="nil"/>
          <w:between w:val="nil"/>
        </w:pBdr>
        <w:tabs>
          <w:tab w:val="left" w:pos="284"/>
          <w:tab w:val="left" w:pos="1089"/>
        </w:tabs>
        <w:spacing w:after="120" w:line="360" w:lineRule="auto"/>
        <w:rPr>
          <w:rFonts w:ascii="Arial" w:eastAsia="Arial" w:hAnsi="Arial" w:cs="Arial"/>
          <w:color w:val="010000"/>
          <w:sz w:val="20"/>
          <w:szCs w:val="20"/>
        </w:rPr>
      </w:pPr>
      <w:r w:rsidRPr="009D4514">
        <w:rPr>
          <w:rFonts w:ascii="Arial" w:hAnsi="Arial" w:cs="Arial"/>
          <w:color w:val="010000"/>
          <w:sz w:val="20"/>
        </w:rPr>
        <w:t xml:space="preserve">Signing object: Between the Company and individuals and organizations who are PDMR and affiliated persons according to the list attached to the </w:t>
      </w:r>
      <w:r w:rsidR="00A855C9" w:rsidRPr="009D4514">
        <w:rPr>
          <w:rFonts w:ascii="Arial" w:hAnsi="Arial" w:cs="Arial"/>
          <w:color w:val="010000"/>
          <w:sz w:val="20"/>
        </w:rPr>
        <w:t>proposal</w:t>
      </w:r>
      <w:r w:rsidRPr="009D4514">
        <w:rPr>
          <w:rFonts w:ascii="Arial" w:hAnsi="Arial" w:cs="Arial"/>
          <w:color w:val="010000"/>
          <w:sz w:val="20"/>
        </w:rPr>
        <w:t>.</w:t>
      </w:r>
    </w:p>
    <w:p w14:paraId="3B6A2373" w14:textId="77777777" w:rsidR="00722524" w:rsidRPr="009D4514" w:rsidRDefault="007470E7" w:rsidP="007470E7">
      <w:pPr>
        <w:numPr>
          <w:ilvl w:val="0"/>
          <w:numId w:val="1"/>
        </w:numPr>
        <w:pBdr>
          <w:top w:val="nil"/>
          <w:left w:val="nil"/>
          <w:bottom w:val="nil"/>
          <w:right w:val="nil"/>
          <w:between w:val="nil"/>
        </w:pBdr>
        <w:tabs>
          <w:tab w:val="left" w:pos="284"/>
          <w:tab w:val="left" w:pos="1075"/>
        </w:tabs>
        <w:spacing w:after="120" w:line="360" w:lineRule="auto"/>
        <w:rPr>
          <w:rFonts w:ascii="Arial" w:eastAsia="Arial" w:hAnsi="Arial" w:cs="Arial"/>
          <w:color w:val="010000"/>
          <w:sz w:val="20"/>
          <w:szCs w:val="20"/>
        </w:rPr>
      </w:pPr>
      <w:r w:rsidRPr="009D4514">
        <w:rPr>
          <w:rFonts w:ascii="Arial" w:hAnsi="Arial" w:cs="Arial"/>
          <w:color w:val="010000"/>
          <w:sz w:val="20"/>
        </w:rPr>
        <w:t>Transaction value with affiliated persons: Less than 20% of the total asset value recorded in the Company's most recent Financial Statements.</w:t>
      </w:r>
    </w:p>
    <w:p w14:paraId="3B6A2374" w14:textId="77777777" w:rsidR="00722524" w:rsidRPr="009D4514" w:rsidRDefault="007470E7" w:rsidP="007470E7">
      <w:pPr>
        <w:numPr>
          <w:ilvl w:val="0"/>
          <w:numId w:val="1"/>
        </w:numPr>
        <w:pBdr>
          <w:top w:val="nil"/>
          <w:left w:val="nil"/>
          <w:bottom w:val="nil"/>
          <w:right w:val="nil"/>
          <w:between w:val="nil"/>
        </w:pBdr>
        <w:tabs>
          <w:tab w:val="left" w:pos="284"/>
          <w:tab w:val="left" w:pos="1082"/>
        </w:tabs>
        <w:spacing w:after="120" w:line="360" w:lineRule="auto"/>
        <w:rPr>
          <w:rFonts w:ascii="Arial" w:eastAsia="Arial" w:hAnsi="Arial" w:cs="Arial"/>
          <w:color w:val="010000"/>
          <w:sz w:val="20"/>
          <w:szCs w:val="20"/>
        </w:rPr>
      </w:pPr>
      <w:r w:rsidRPr="009D4514">
        <w:rPr>
          <w:rFonts w:ascii="Arial" w:hAnsi="Arial" w:cs="Arial"/>
          <w:color w:val="010000"/>
          <w:sz w:val="20"/>
        </w:rPr>
        <w:t>The scope of transactions with affiliated persons to be signed includes:</w:t>
      </w:r>
    </w:p>
    <w:p w14:paraId="3B6A2375" w14:textId="77777777" w:rsidR="00722524" w:rsidRPr="009D4514" w:rsidRDefault="007470E7" w:rsidP="007470E7">
      <w:pPr>
        <w:numPr>
          <w:ilvl w:val="0"/>
          <w:numId w:val="2"/>
        </w:numPr>
        <w:pBdr>
          <w:top w:val="nil"/>
          <w:left w:val="nil"/>
          <w:bottom w:val="nil"/>
          <w:right w:val="nil"/>
          <w:between w:val="nil"/>
        </w:pBdr>
        <w:tabs>
          <w:tab w:val="left" w:pos="284"/>
          <w:tab w:val="left" w:pos="981"/>
        </w:tabs>
        <w:spacing w:after="120" w:line="360" w:lineRule="auto"/>
        <w:rPr>
          <w:rFonts w:ascii="Arial" w:eastAsia="Arial" w:hAnsi="Arial" w:cs="Arial"/>
          <w:color w:val="010000"/>
          <w:sz w:val="20"/>
          <w:szCs w:val="20"/>
        </w:rPr>
      </w:pPr>
      <w:r w:rsidRPr="009D4514">
        <w:rPr>
          <w:rFonts w:ascii="Arial" w:hAnsi="Arial" w:cs="Arial"/>
          <w:color w:val="010000"/>
          <w:sz w:val="20"/>
        </w:rPr>
        <w:t>Buy and sell goods (including business goods, tools, fixed assets...)</w:t>
      </w:r>
    </w:p>
    <w:p w14:paraId="3B6A2376" w14:textId="12043904" w:rsidR="00722524" w:rsidRPr="009D4514" w:rsidRDefault="007470E7" w:rsidP="007470E7">
      <w:pPr>
        <w:numPr>
          <w:ilvl w:val="0"/>
          <w:numId w:val="2"/>
        </w:numPr>
        <w:pBdr>
          <w:top w:val="nil"/>
          <w:left w:val="nil"/>
          <w:bottom w:val="nil"/>
          <w:right w:val="nil"/>
          <w:between w:val="nil"/>
        </w:pBdr>
        <w:tabs>
          <w:tab w:val="left" w:pos="284"/>
          <w:tab w:val="left" w:pos="928"/>
        </w:tabs>
        <w:spacing w:after="120" w:line="360" w:lineRule="auto"/>
        <w:rPr>
          <w:rFonts w:ascii="Arial" w:eastAsia="Arial" w:hAnsi="Arial" w:cs="Arial"/>
          <w:color w:val="010000"/>
          <w:sz w:val="20"/>
          <w:szCs w:val="20"/>
        </w:rPr>
      </w:pPr>
      <w:r w:rsidRPr="009D4514">
        <w:rPr>
          <w:rFonts w:ascii="Arial" w:hAnsi="Arial" w:cs="Arial"/>
          <w:color w:val="010000"/>
          <w:sz w:val="20"/>
        </w:rPr>
        <w:t>Transfer shares</w:t>
      </w:r>
      <w:r w:rsidR="00A855C9" w:rsidRPr="009D4514">
        <w:rPr>
          <w:rFonts w:ascii="Arial" w:hAnsi="Arial" w:cs="Arial"/>
          <w:color w:val="010000"/>
          <w:sz w:val="20"/>
        </w:rPr>
        <w:t>;</w:t>
      </w:r>
    </w:p>
    <w:p w14:paraId="3B6A2377" w14:textId="77777777" w:rsidR="00722524" w:rsidRPr="009D4514" w:rsidRDefault="007470E7" w:rsidP="007470E7">
      <w:pPr>
        <w:numPr>
          <w:ilvl w:val="0"/>
          <w:numId w:val="2"/>
        </w:numPr>
        <w:pBdr>
          <w:top w:val="nil"/>
          <w:left w:val="nil"/>
          <w:bottom w:val="nil"/>
          <w:right w:val="nil"/>
          <w:between w:val="nil"/>
        </w:pBdr>
        <w:tabs>
          <w:tab w:val="left" w:pos="284"/>
          <w:tab w:val="left" w:pos="928"/>
        </w:tabs>
        <w:spacing w:after="120" w:line="360" w:lineRule="auto"/>
        <w:rPr>
          <w:rFonts w:ascii="Arial" w:eastAsia="Arial" w:hAnsi="Arial" w:cs="Arial"/>
          <w:color w:val="010000"/>
          <w:sz w:val="20"/>
          <w:szCs w:val="20"/>
        </w:rPr>
      </w:pPr>
      <w:r w:rsidRPr="009D4514">
        <w:rPr>
          <w:rFonts w:ascii="Arial" w:hAnsi="Arial" w:cs="Arial"/>
          <w:color w:val="010000"/>
          <w:sz w:val="20"/>
        </w:rPr>
        <w:t>Provide loans and guarantees;</w:t>
      </w:r>
    </w:p>
    <w:p w14:paraId="3B6A2378" w14:textId="3337132F" w:rsidR="00722524" w:rsidRPr="009D4514" w:rsidRDefault="00A855C9" w:rsidP="007470E7">
      <w:pPr>
        <w:numPr>
          <w:ilvl w:val="0"/>
          <w:numId w:val="2"/>
        </w:numPr>
        <w:pBdr>
          <w:top w:val="nil"/>
          <w:left w:val="nil"/>
          <w:bottom w:val="nil"/>
          <w:right w:val="nil"/>
          <w:between w:val="nil"/>
        </w:pBdr>
        <w:tabs>
          <w:tab w:val="left" w:pos="284"/>
          <w:tab w:val="left" w:pos="956"/>
        </w:tabs>
        <w:spacing w:after="120" w:line="360" w:lineRule="auto"/>
        <w:rPr>
          <w:rFonts w:ascii="Arial" w:eastAsia="Arial" w:hAnsi="Arial" w:cs="Arial"/>
          <w:color w:val="010000"/>
          <w:sz w:val="20"/>
          <w:szCs w:val="20"/>
        </w:rPr>
      </w:pPr>
      <w:r w:rsidRPr="009D4514">
        <w:rPr>
          <w:rFonts w:ascii="Arial" w:hAnsi="Arial" w:cs="Arial"/>
          <w:color w:val="010000"/>
          <w:sz w:val="20"/>
        </w:rPr>
        <w:t>C</w:t>
      </w:r>
      <w:r w:rsidR="007470E7" w:rsidRPr="009D4514">
        <w:rPr>
          <w:rFonts w:ascii="Arial" w:hAnsi="Arial" w:cs="Arial"/>
          <w:color w:val="010000"/>
          <w:sz w:val="20"/>
        </w:rPr>
        <w:t>ooperate in investment, business, and joint venture bidding or subcontract, etc.;</w:t>
      </w:r>
    </w:p>
    <w:p w14:paraId="3B6A2379" w14:textId="77777777" w:rsidR="00722524" w:rsidRPr="009D4514" w:rsidRDefault="007470E7" w:rsidP="007470E7">
      <w:pPr>
        <w:numPr>
          <w:ilvl w:val="0"/>
          <w:numId w:val="2"/>
        </w:numPr>
        <w:pBdr>
          <w:top w:val="nil"/>
          <w:left w:val="nil"/>
          <w:bottom w:val="nil"/>
          <w:right w:val="nil"/>
          <w:between w:val="nil"/>
        </w:pBdr>
        <w:tabs>
          <w:tab w:val="left" w:pos="284"/>
          <w:tab w:val="left" w:pos="981"/>
        </w:tabs>
        <w:spacing w:after="120" w:line="360" w:lineRule="auto"/>
        <w:rPr>
          <w:rFonts w:ascii="Arial" w:eastAsia="Arial" w:hAnsi="Arial" w:cs="Arial"/>
          <w:color w:val="010000"/>
          <w:sz w:val="20"/>
          <w:szCs w:val="20"/>
        </w:rPr>
      </w:pPr>
      <w:r w:rsidRPr="009D4514">
        <w:rPr>
          <w:rFonts w:ascii="Arial" w:hAnsi="Arial" w:cs="Arial"/>
          <w:color w:val="010000"/>
          <w:sz w:val="20"/>
        </w:rPr>
        <w:t>Rent, lease property, grant property use rights: Offices, factories, premises...;</w:t>
      </w:r>
    </w:p>
    <w:p w14:paraId="3B6A237A" w14:textId="77777777" w:rsidR="00722524" w:rsidRPr="009D4514" w:rsidRDefault="007470E7" w:rsidP="007470E7">
      <w:pPr>
        <w:numPr>
          <w:ilvl w:val="0"/>
          <w:numId w:val="2"/>
        </w:numPr>
        <w:pBdr>
          <w:top w:val="nil"/>
          <w:left w:val="nil"/>
          <w:bottom w:val="nil"/>
          <w:right w:val="nil"/>
          <w:between w:val="nil"/>
        </w:pBdr>
        <w:tabs>
          <w:tab w:val="left" w:pos="284"/>
          <w:tab w:val="left" w:pos="956"/>
        </w:tabs>
        <w:spacing w:after="120" w:line="360" w:lineRule="auto"/>
        <w:rPr>
          <w:rFonts w:ascii="Arial" w:eastAsia="Arial" w:hAnsi="Arial" w:cs="Arial"/>
          <w:color w:val="010000"/>
          <w:sz w:val="20"/>
          <w:szCs w:val="20"/>
        </w:rPr>
      </w:pPr>
      <w:r w:rsidRPr="009D4514">
        <w:rPr>
          <w:rFonts w:ascii="Arial" w:hAnsi="Arial" w:cs="Arial"/>
          <w:color w:val="010000"/>
          <w:sz w:val="20"/>
        </w:rPr>
        <w:t>Share costs and use common resources between parties;</w:t>
      </w:r>
    </w:p>
    <w:p w14:paraId="3B6A237B" w14:textId="77777777" w:rsidR="00722524" w:rsidRPr="009D4514" w:rsidRDefault="007470E7" w:rsidP="007470E7">
      <w:pPr>
        <w:numPr>
          <w:ilvl w:val="0"/>
          <w:numId w:val="2"/>
        </w:numPr>
        <w:pBdr>
          <w:top w:val="nil"/>
          <w:left w:val="nil"/>
          <w:bottom w:val="nil"/>
          <w:right w:val="nil"/>
          <w:between w:val="nil"/>
        </w:pBdr>
        <w:tabs>
          <w:tab w:val="left" w:pos="284"/>
          <w:tab w:val="left" w:pos="978"/>
        </w:tabs>
        <w:spacing w:after="120" w:line="360" w:lineRule="auto"/>
        <w:rPr>
          <w:rFonts w:ascii="Arial" w:eastAsia="Arial" w:hAnsi="Arial" w:cs="Arial"/>
          <w:color w:val="010000"/>
          <w:sz w:val="20"/>
          <w:szCs w:val="20"/>
        </w:rPr>
      </w:pPr>
      <w:r w:rsidRPr="009D4514">
        <w:rPr>
          <w:rFonts w:ascii="Arial" w:hAnsi="Arial" w:cs="Arial"/>
          <w:color w:val="010000"/>
          <w:sz w:val="20"/>
        </w:rPr>
        <w:t>Cooperation agreements include but are not limited to business cooperation agreements, promoting revenue.</w:t>
      </w:r>
    </w:p>
    <w:p w14:paraId="3B6A237C" w14:textId="77777777" w:rsidR="00722524" w:rsidRPr="009D4514" w:rsidRDefault="007470E7" w:rsidP="007470E7">
      <w:pPr>
        <w:numPr>
          <w:ilvl w:val="0"/>
          <w:numId w:val="1"/>
        </w:numPr>
        <w:pBdr>
          <w:top w:val="nil"/>
          <w:left w:val="nil"/>
          <w:bottom w:val="nil"/>
          <w:right w:val="nil"/>
          <w:between w:val="nil"/>
        </w:pBdr>
        <w:tabs>
          <w:tab w:val="left" w:pos="284"/>
          <w:tab w:val="left" w:pos="1086"/>
        </w:tabs>
        <w:spacing w:after="120" w:line="360" w:lineRule="auto"/>
        <w:rPr>
          <w:rFonts w:ascii="Arial" w:eastAsia="Arial" w:hAnsi="Arial" w:cs="Arial"/>
          <w:color w:val="010000"/>
          <w:sz w:val="20"/>
          <w:szCs w:val="20"/>
        </w:rPr>
      </w:pPr>
      <w:r w:rsidRPr="009D4514">
        <w:rPr>
          <w:rFonts w:ascii="Arial" w:hAnsi="Arial" w:cs="Arial"/>
          <w:color w:val="010000"/>
          <w:sz w:val="20"/>
        </w:rPr>
        <w:t>Condition: Transactions between the Company and affiliated persons are carried out in accordance with the Company's Charter and relevant laws and must ensure the interests of the Company, shareholders and the terms of the transaction with the affiliated persons are no more unfavorable than similar terms proposed by other independent partners.</w:t>
      </w:r>
    </w:p>
    <w:p w14:paraId="3B6A237D" w14:textId="1DEA1694" w:rsidR="00722524" w:rsidRPr="009D4514" w:rsidRDefault="007470E7" w:rsidP="007470E7">
      <w:pPr>
        <w:pBdr>
          <w:top w:val="nil"/>
          <w:left w:val="nil"/>
          <w:bottom w:val="nil"/>
          <w:right w:val="nil"/>
          <w:between w:val="nil"/>
        </w:pBdr>
        <w:spacing w:after="120" w:line="360" w:lineRule="auto"/>
        <w:rPr>
          <w:rFonts w:ascii="Arial" w:eastAsia="Arial" w:hAnsi="Arial" w:cs="Arial"/>
          <w:color w:val="010000"/>
          <w:sz w:val="20"/>
          <w:szCs w:val="20"/>
        </w:rPr>
      </w:pPr>
      <w:r w:rsidRPr="009D4514">
        <w:rPr>
          <w:rFonts w:ascii="Arial" w:hAnsi="Arial" w:cs="Arial"/>
          <w:color w:val="010000"/>
          <w:sz w:val="20"/>
        </w:rPr>
        <w:t>‎‎Article 2. For transactions with affiliated persons not listed in the attached list of affiliated persons and outside the scope of authority specified in Article 1 of this Resolution</w:t>
      </w:r>
      <w:r w:rsidR="009D4514" w:rsidRPr="009D4514">
        <w:rPr>
          <w:rFonts w:ascii="Arial" w:hAnsi="Arial" w:cs="Arial"/>
          <w:color w:val="010000"/>
          <w:sz w:val="20"/>
        </w:rPr>
        <w:t>,</w:t>
      </w:r>
      <w:r w:rsidRPr="009D4514">
        <w:rPr>
          <w:rFonts w:ascii="Arial" w:hAnsi="Arial" w:cs="Arial"/>
          <w:color w:val="010000"/>
          <w:sz w:val="20"/>
        </w:rPr>
        <w:t xml:space="preserve"> arising in 2024 with a transaction value of less than 20% of the total asset value recorded in the Company's most recent Financial Statements</w:t>
      </w:r>
      <w:r w:rsidR="009D4514" w:rsidRPr="009D4514">
        <w:rPr>
          <w:rFonts w:ascii="Arial" w:hAnsi="Arial" w:cs="Arial"/>
          <w:color w:val="010000"/>
          <w:sz w:val="20"/>
        </w:rPr>
        <w:t>, they</w:t>
      </w:r>
      <w:r w:rsidRPr="009D4514">
        <w:rPr>
          <w:rFonts w:ascii="Arial" w:hAnsi="Arial" w:cs="Arial"/>
          <w:color w:val="010000"/>
          <w:sz w:val="20"/>
        </w:rPr>
        <w:t xml:space="preserve"> must be submitted to the Board of Directors for review and approval.</w:t>
      </w:r>
    </w:p>
    <w:p w14:paraId="3B6A237E" w14:textId="77777777" w:rsidR="00722524" w:rsidRPr="009D4514" w:rsidRDefault="007470E7" w:rsidP="007470E7">
      <w:pPr>
        <w:pBdr>
          <w:top w:val="nil"/>
          <w:left w:val="nil"/>
          <w:bottom w:val="nil"/>
          <w:right w:val="nil"/>
          <w:between w:val="nil"/>
        </w:pBdr>
        <w:spacing w:after="120" w:line="360" w:lineRule="auto"/>
        <w:rPr>
          <w:rFonts w:ascii="Arial" w:eastAsia="Arial" w:hAnsi="Arial" w:cs="Arial"/>
          <w:color w:val="010000"/>
          <w:sz w:val="20"/>
          <w:szCs w:val="20"/>
        </w:rPr>
      </w:pPr>
      <w:r w:rsidRPr="009D4514">
        <w:rPr>
          <w:rFonts w:ascii="Arial" w:hAnsi="Arial" w:cs="Arial"/>
          <w:color w:val="010000"/>
          <w:sz w:val="20"/>
        </w:rPr>
        <w:t>‎‎Article 3. Assign the General Managers and Managers of branches to approve/decide on the conclusion/signing of each specific contract and transaction and/or the implementation of contracts and transactions between the Company and affiliated persons in 2024 according to the scope authorized by the Legal Representative and according to the limit approved by the Board of Directors.</w:t>
      </w:r>
    </w:p>
    <w:p w14:paraId="3B6A237F" w14:textId="77777777" w:rsidR="00722524" w:rsidRPr="009D4514" w:rsidRDefault="007470E7" w:rsidP="007470E7">
      <w:pPr>
        <w:pBdr>
          <w:top w:val="nil"/>
          <w:left w:val="nil"/>
          <w:bottom w:val="nil"/>
          <w:right w:val="nil"/>
          <w:between w:val="nil"/>
        </w:pBdr>
        <w:spacing w:after="120" w:line="360" w:lineRule="auto"/>
        <w:rPr>
          <w:rFonts w:ascii="Arial" w:eastAsia="Arial" w:hAnsi="Arial" w:cs="Arial"/>
          <w:color w:val="010000"/>
          <w:sz w:val="20"/>
          <w:szCs w:val="20"/>
        </w:rPr>
      </w:pPr>
      <w:r w:rsidRPr="009D4514">
        <w:rPr>
          <w:rFonts w:ascii="Arial" w:hAnsi="Arial" w:cs="Arial"/>
          <w:color w:val="010000"/>
          <w:sz w:val="20"/>
        </w:rPr>
        <w:t>‎‎Article 4. This Resolution takes effect from the date of its signing.</w:t>
      </w:r>
    </w:p>
    <w:p w14:paraId="3B6A2380" w14:textId="77777777" w:rsidR="00722524" w:rsidRPr="009D4514" w:rsidRDefault="007470E7" w:rsidP="007470E7">
      <w:pPr>
        <w:pBdr>
          <w:top w:val="nil"/>
          <w:left w:val="nil"/>
          <w:bottom w:val="nil"/>
          <w:right w:val="nil"/>
          <w:between w:val="nil"/>
        </w:pBdr>
        <w:spacing w:after="120" w:line="360" w:lineRule="auto"/>
        <w:rPr>
          <w:rFonts w:ascii="Arial" w:eastAsia="Arial" w:hAnsi="Arial" w:cs="Arial"/>
          <w:color w:val="010000"/>
          <w:sz w:val="20"/>
          <w:szCs w:val="20"/>
        </w:rPr>
      </w:pPr>
      <w:r w:rsidRPr="009D4514">
        <w:rPr>
          <w:rFonts w:ascii="Arial" w:hAnsi="Arial" w:cs="Arial"/>
          <w:color w:val="010000"/>
          <w:sz w:val="20"/>
        </w:rPr>
        <w:t xml:space="preserve">Members of the Board of Directors, the Board of Management, units within the Company and affiliated </w:t>
      </w:r>
      <w:r w:rsidRPr="009D4514">
        <w:rPr>
          <w:rFonts w:ascii="Arial" w:hAnsi="Arial" w:cs="Arial"/>
          <w:color w:val="010000"/>
          <w:sz w:val="20"/>
        </w:rPr>
        <w:lastRenderedPageBreak/>
        <w:t>persons are responsible for resolving legal issues to implement this Resolution in accordance with the Company's Charter and provisions of law.</w:t>
      </w:r>
    </w:p>
    <w:sectPr w:rsidR="00722524" w:rsidRPr="009D4514" w:rsidSect="007470E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16E48"/>
    <w:multiLevelType w:val="multilevel"/>
    <w:tmpl w:val="D4B486E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72707B"/>
    <w:multiLevelType w:val="multilevel"/>
    <w:tmpl w:val="D0E696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96213805">
    <w:abstractNumId w:val="1"/>
  </w:num>
  <w:num w:numId="2" w16cid:durableId="11772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24"/>
    <w:rsid w:val="00722524"/>
    <w:rsid w:val="007470E7"/>
    <w:rsid w:val="009D4514"/>
    <w:rsid w:val="00A855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A236F"/>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X29zMU9EPNKCntynBKcTfsSRQ==">CgMxLjA4AHIhMXZNQ2FPamNUTWdyNHFwQU96MVlzN29KMzB1ZWhfZFhw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2355</Characters>
  <Application>Microsoft Office Word</Application>
  <DocSecurity>0</DocSecurity>
  <Lines>35</Lines>
  <Paragraphs>20</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2024-04-23T03:53:00Z</dcterms:created>
  <dcterms:modified xsi:type="dcterms:W3CDTF">2024-04-23T23:28:00Z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82350be15380abc47d3b92ef899830aa02582a0ef9aefe780b66601d3a47d3c1</vt:lpwstr>
  </property>
</Properties>
</file>