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ADD90"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EID: Annual General Mandate 2024</w:t>
      </w:r>
    </w:p>
    <w:p w14:paraId="70D2C409"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17, 2024, Hanoi Education Development and Investment JSC announced General Mandate No. 03/NQ-DHDCD as follows:</w:t>
      </w:r>
    </w:p>
    <w:p w14:paraId="60B78E98"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activities of the Board of Directors in 2023 and the operating plan for 2024;</w:t>
      </w:r>
    </w:p>
    <w:p w14:paraId="7CE64AD6"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Management on the production and business results in 2023 and the plan for 2024.</w:t>
      </w:r>
    </w:p>
    <w:p w14:paraId="29D1E9FB"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of production and business activities in 2023:</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931"/>
        <w:gridCol w:w="1026"/>
        <w:gridCol w:w="1407"/>
        <w:gridCol w:w="1416"/>
        <w:gridCol w:w="1416"/>
        <w:gridCol w:w="1302"/>
      </w:tblGrid>
      <w:tr w:rsidR="0034197F" w14:paraId="2AC99B98" w14:textId="77777777">
        <w:trPr>
          <w:jc w:val="center"/>
        </w:trPr>
        <w:tc>
          <w:tcPr>
            <w:tcW w:w="519" w:type="dxa"/>
            <w:shd w:val="clear" w:color="auto" w:fill="auto"/>
            <w:tcMar>
              <w:top w:w="0" w:type="dxa"/>
              <w:bottom w:w="0" w:type="dxa"/>
            </w:tcMar>
            <w:vAlign w:val="center"/>
          </w:tcPr>
          <w:p w14:paraId="750A0DEF"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GoBack" w:colFirst="1" w:colLast="6"/>
            <w:r>
              <w:rPr>
                <w:rFonts w:ascii="Arial" w:hAnsi="Arial"/>
                <w:color w:val="010000"/>
                <w:sz w:val="20"/>
              </w:rPr>
              <w:t>No.</w:t>
            </w:r>
          </w:p>
        </w:tc>
        <w:tc>
          <w:tcPr>
            <w:tcW w:w="1931" w:type="dxa"/>
            <w:shd w:val="clear" w:color="auto" w:fill="auto"/>
            <w:tcMar>
              <w:top w:w="0" w:type="dxa"/>
              <w:bottom w:w="0" w:type="dxa"/>
            </w:tcMar>
            <w:vAlign w:val="center"/>
          </w:tcPr>
          <w:p w14:paraId="1DC57C2B" w14:textId="77777777" w:rsidR="0034197F" w:rsidRDefault="007565B6" w:rsidP="0064597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026" w:type="dxa"/>
            <w:shd w:val="clear" w:color="auto" w:fill="auto"/>
            <w:tcMar>
              <w:top w:w="0" w:type="dxa"/>
              <w:bottom w:w="0" w:type="dxa"/>
            </w:tcMar>
            <w:vAlign w:val="center"/>
          </w:tcPr>
          <w:p w14:paraId="3C39384A" w14:textId="77777777" w:rsidR="0034197F" w:rsidRDefault="007565B6" w:rsidP="0064597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in 2023</w:t>
            </w:r>
          </w:p>
          <w:p w14:paraId="7A315156" w14:textId="77777777" w:rsidR="0034197F" w:rsidRDefault="007565B6" w:rsidP="0064597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Billion)</w:t>
            </w:r>
          </w:p>
        </w:tc>
        <w:tc>
          <w:tcPr>
            <w:tcW w:w="1407" w:type="dxa"/>
            <w:shd w:val="clear" w:color="auto" w:fill="auto"/>
            <w:tcMar>
              <w:top w:w="0" w:type="dxa"/>
              <w:bottom w:w="0" w:type="dxa"/>
            </w:tcMar>
            <w:vAlign w:val="center"/>
          </w:tcPr>
          <w:p w14:paraId="510A4401" w14:textId="48E3905D" w:rsidR="0034197F" w:rsidRDefault="007565B6" w:rsidP="0064597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 (Holding Company) 2023 (</w:t>
            </w:r>
            <w:r w:rsidR="00B75CB9">
              <w:rPr>
                <w:rFonts w:ascii="Arial" w:hAnsi="Arial"/>
                <w:color w:val="010000"/>
                <w:sz w:val="20"/>
              </w:rPr>
              <w:t>VND billion</w:t>
            </w:r>
            <w:r>
              <w:rPr>
                <w:rFonts w:ascii="Arial" w:hAnsi="Arial"/>
                <w:color w:val="010000"/>
                <w:sz w:val="20"/>
              </w:rPr>
              <w:t>)</w:t>
            </w:r>
          </w:p>
        </w:tc>
        <w:tc>
          <w:tcPr>
            <w:tcW w:w="1416" w:type="dxa"/>
            <w:shd w:val="clear" w:color="auto" w:fill="auto"/>
            <w:tcMar>
              <w:top w:w="0" w:type="dxa"/>
              <w:bottom w:w="0" w:type="dxa"/>
            </w:tcMar>
            <w:vAlign w:val="center"/>
          </w:tcPr>
          <w:p w14:paraId="11DFCCA2" w14:textId="77777777" w:rsidR="0034197F" w:rsidRDefault="007565B6" w:rsidP="0064597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Percentage compared to plan (Holding Company compared to plan)</w:t>
            </w:r>
          </w:p>
        </w:tc>
        <w:tc>
          <w:tcPr>
            <w:tcW w:w="1416" w:type="dxa"/>
            <w:shd w:val="clear" w:color="auto" w:fill="auto"/>
            <w:tcMar>
              <w:top w:w="0" w:type="dxa"/>
              <w:bottom w:w="0" w:type="dxa"/>
            </w:tcMar>
            <w:vAlign w:val="center"/>
          </w:tcPr>
          <w:p w14:paraId="51BA1667" w14:textId="77777777" w:rsidR="0034197F" w:rsidRDefault="007565B6" w:rsidP="0064597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Percentage compared to results (Holding Company compared to 2022)</w:t>
            </w:r>
          </w:p>
        </w:tc>
        <w:tc>
          <w:tcPr>
            <w:tcW w:w="1302" w:type="dxa"/>
            <w:shd w:val="clear" w:color="auto" w:fill="auto"/>
            <w:tcMar>
              <w:top w:w="0" w:type="dxa"/>
              <w:bottom w:w="0" w:type="dxa"/>
            </w:tcMar>
            <w:vAlign w:val="center"/>
          </w:tcPr>
          <w:p w14:paraId="6AFA460E" w14:textId="602CC451" w:rsidR="0034197F" w:rsidRDefault="007565B6" w:rsidP="0064597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 (consolidated) 2023</w:t>
            </w:r>
          </w:p>
          <w:p w14:paraId="1E5E82B8" w14:textId="77777777" w:rsidR="0034197F" w:rsidRDefault="007565B6" w:rsidP="0064597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Billion)</w:t>
            </w:r>
          </w:p>
        </w:tc>
      </w:tr>
      <w:bookmarkEnd w:id="0"/>
      <w:tr w:rsidR="0034197F" w14:paraId="66321A0E" w14:textId="77777777">
        <w:trPr>
          <w:jc w:val="center"/>
        </w:trPr>
        <w:tc>
          <w:tcPr>
            <w:tcW w:w="519" w:type="dxa"/>
            <w:shd w:val="clear" w:color="auto" w:fill="auto"/>
            <w:tcMar>
              <w:top w:w="0" w:type="dxa"/>
              <w:bottom w:w="0" w:type="dxa"/>
            </w:tcMar>
            <w:vAlign w:val="center"/>
          </w:tcPr>
          <w:p w14:paraId="1362EC64"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31" w:type="dxa"/>
            <w:shd w:val="clear" w:color="auto" w:fill="auto"/>
            <w:tcMar>
              <w:top w:w="0" w:type="dxa"/>
              <w:bottom w:w="0" w:type="dxa"/>
            </w:tcMar>
            <w:vAlign w:val="center"/>
          </w:tcPr>
          <w:p w14:paraId="55136775"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 (net revenue + financial revenue + other income)</w:t>
            </w:r>
          </w:p>
        </w:tc>
        <w:tc>
          <w:tcPr>
            <w:tcW w:w="1026" w:type="dxa"/>
            <w:shd w:val="clear" w:color="auto" w:fill="auto"/>
            <w:tcMar>
              <w:top w:w="0" w:type="dxa"/>
              <w:bottom w:w="0" w:type="dxa"/>
            </w:tcMar>
            <w:vAlign w:val="center"/>
          </w:tcPr>
          <w:p w14:paraId="6474D702"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1,000</w:t>
            </w:r>
          </w:p>
        </w:tc>
        <w:tc>
          <w:tcPr>
            <w:tcW w:w="1407" w:type="dxa"/>
            <w:shd w:val="clear" w:color="auto" w:fill="auto"/>
            <w:tcMar>
              <w:top w:w="0" w:type="dxa"/>
              <w:bottom w:w="0" w:type="dxa"/>
            </w:tcMar>
            <w:vAlign w:val="center"/>
          </w:tcPr>
          <w:p w14:paraId="716949F4"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1,058</w:t>
            </w:r>
          </w:p>
        </w:tc>
        <w:tc>
          <w:tcPr>
            <w:tcW w:w="1416" w:type="dxa"/>
            <w:shd w:val="clear" w:color="auto" w:fill="auto"/>
            <w:tcMar>
              <w:top w:w="0" w:type="dxa"/>
              <w:bottom w:w="0" w:type="dxa"/>
            </w:tcMar>
            <w:vAlign w:val="center"/>
          </w:tcPr>
          <w:p w14:paraId="6F471ADC"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105.8%</w:t>
            </w:r>
          </w:p>
        </w:tc>
        <w:tc>
          <w:tcPr>
            <w:tcW w:w="1416" w:type="dxa"/>
            <w:shd w:val="clear" w:color="auto" w:fill="auto"/>
            <w:tcMar>
              <w:top w:w="0" w:type="dxa"/>
              <w:bottom w:w="0" w:type="dxa"/>
            </w:tcMar>
            <w:vAlign w:val="center"/>
          </w:tcPr>
          <w:p w14:paraId="15DE68A1"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103%</w:t>
            </w:r>
          </w:p>
        </w:tc>
        <w:tc>
          <w:tcPr>
            <w:tcW w:w="1302" w:type="dxa"/>
            <w:shd w:val="clear" w:color="auto" w:fill="auto"/>
            <w:tcMar>
              <w:top w:w="0" w:type="dxa"/>
              <w:bottom w:w="0" w:type="dxa"/>
            </w:tcMar>
            <w:vAlign w:val="center"/>
          </w:tcPr>
          <w:p w14:paraId="1060A1F6"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1,068</w:t>
            </w:r>
          </w:p>
        </w:tc>
      </w:tr>
      <w:tr w:rsidR="0034197F" w14:paraId="6A720A50" w14:textId="77777777">
        <w:trPr>
          <w:jc w:val="center"/>
        </w:trPr>
        <w:tc>
          <w:tcPr>
            <w:tcW w:w="519" w:type="dxa"/>
            <w:shd w:val="clear" w:color="auto" w:fill="auto"/>
            <w:tcMar>
              <w:top w:w="0" w:type="dxa"/>
              <w:bottom w:w="0" w:type="dxa"/>
            </w:tcMar>
            <w:vAlign w:val="center"/>
          </w:tcPr>
          <w:p w14:paraId="2B1E7410"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931" w:type="dxa"/>
            <w:shd w:val="clear" w:color="auto" w:fill="auto"/>
            <w:tcMar>
              <w:top w:w="0" w:type="dxa"/>
              <w:bottom w:w="0" w:type="dxa"/>
            </w:tcMar>
            <w:vAlign w:val="center"/>
          </w:tcPr>
          <w:p w14:paraId="4A574FA5"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026" w:type="dxa"/>
            <w:shd w:val="clear" w:color="auto" w:fill="auto"/>
            <w:tcMar>
              <w:top w:w="0" w:type="dxa"/>
              <w:bottom w:w="0" w:type="dxa"/>
            </w:tcMar>
            <w:vAlign w:val="center"/>
          </w:tcPr>
          <w:p w14:paraId="129751DF"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64</w:t>
            </w:r>
          </w:p>
        </w:tc>
        <w:tc>
          <w:tcPr>
            <w:tcW w:w="1407" w:type="dxa"/>
            <w:shd w:val="clear" w:color="auto" w:fill="auto"/>
            <w:tcMar>
              <w:top w:w="0" w:type="dxa"/>
              <w:bottom w:w="0" w:type="dxa"/>
            </w:tcMar>
            <w:vAlign w:val="center"/>
          </w:tcPr>
          <w:p w14:paraId="522CA530"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87</w:t>
            </w:r>
          </w:p>
        </w:tc>
        <w:tc>
          <w:tcPr>
            <w:tcW w:w="1416" w:type="dxa"/>
            <w:shd w:val="clear" w:color="auto" w:fill="auto"/>
            <w:tcMar>
              <w:top w:w="0" w:type="dxa"/>
              <w:bottom w:w="0" w:type="dxa"/>
            </w:tcMar>
            <w:vAlign w:val="center"/>
          </w:tcPr>
          <w:p w14:paraId="15C9FFBA"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136%</w:t>
            </w:r>
          </w:p>
        </w:tc>
        <w:tc>
          <w:tcPr>
            <w:tcW w:w="1416" w:type="dxa"/>
            <w:shd w:val="clear" w:color="auto" w:fill="auto"/>
            <w:tcMar>
              <w:top w:w="0" w:type="dxa"/>
              <w:bottom w:w="0" w:type="dxa"/>
            </w:tcMar>
            <w:vAlign w:val="center"/>
          </w:tcPr>
          <w:p w14:paraId="01643B85"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102%</w:t>
            </w:r>
          </w:p>
        </w:tc>
        <w:tc>
          <w:tcPr>
            <w:tcW w:w="1302" w:type="dxa"/>
            <w:shd w:val="clear" w:color="auto" w:fill="auto"/>
            <w:tcMar>
              <w:top w:w="0" w:type="dxa"/>
              <w:bottom w:w="0" w:type="dxa"/>
            </w:tcMar>
            <w:vAlign w:val="center"/>
          </w:tcPr>
          <w:p w14:paraId="7D4C1296"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90</w:t>
            </w:r>
          </w:p>
        </w:tc>
      </w:tr>
      <w:tr w:rsidR="0034197F" w14:paraId="4CAE3DCC" w14:textId="77777777">
        <w:trPr>
          <w:jc w:val="center"/>
        </w:trPr>
        <w:tc>
          <w:tcPr>
            <w:tcW w:w="519" w:type="dxa"/>
            <w:shd w:val="clear" w:color="auto" w:fill="auto"/>
            <w:tcMar>
              <w:top w:w="0" w:type="dxa"/>
              <w:bottom w:w="0" w:type="dxa"/>
            </w:tcMar>
            <w:vAlign w:val="center"/>
          </w:tcPr>
          <w:p w14:paraId="3402942D"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931" w:type="dxa"/>
            <w:shd w:val="clear" w:color="auto" w:fill="auto"/>
            <w:tcMar>
              <w:top w:w="0" w:type="dxa"/>
              <w:bottom w:w="0" w:type="dxa"/>
            </w:tcMar>
            <w:vAlign w:val="center"/>
          </w:tcPr>
          <w:p w14:paraId="61FB5883"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1026" w:type="dxa"/>
            <w:shd w:val="clear" w:color="auto" w:fill="auto"/>
            <w:tcMar>
              <w:top w:w="0" w:type="dxa"/>
              <w:bottom w:w="0" w:type="dxa"/>
            </w:tcMar>
            <w:vAlign w:val="center"/>
          </w:tcPr>
          <w:p w14:paraId="027F9573"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w:t>
            </w:r>
          </w:p>
        </w:tc>
        <w:tc>
          <w:tcPr>
            <w:tcW w:w="1407" w:type="dxa"/>
            <w:shd w:val="clear" w:color="auto" w:fill="auto"/>
            <w:tcMar>
              <w:top w:w="0" w:type="dxa"/>
              <w:bottom w:w="0" w:type="dxa"/>
            </w:tcMar>
            <w:vAlign w:val="center"/>
          </w:tcPr>
          <w:p w14:paraId="739519EA"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w:t>
            </w:r>
          </w:p>
        </w:tc>
        <w:tc>
          <w:tcPr>
            <w:tcW w:w="1416" w:type="dxa"/>
            <w:shd w:val="clear" w:color="auto" w:fill="auto"/>
            <w:tcMar>
              <w:top w:w="0" w:type="dxa"/>
              <w:bottom w:w="0" w:type="dxa"/>
            </w:tcMar>
            <w:vAlign w:val="center"/>
          </w:tcPr>
          <w:p w14:paraId="3A102E9B"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416" w:type="dxa"/>
            <w:shd w:val="clear" w:color="auto" w:fill="auto"/>
            <w:tcMar>
              <w:top w:w="0" w:type="dxa"/>
              <w:bottom w:w="0" w:type="dxa"/>
            </w:tcMar>
            <w:vAlign w:val="center"/>
          </w:tcPr>
          <w:p w14:paraId="19D8BFCF"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302" w:type="dxa"/>
            <w:shd w:val="clear" w:color="auto" w:fill="auto"/>
            <w:tcMar>
              <w:top w:w="0" w:type="dxa"/>
              <w:bottom w:w="0" w:type="dxa"/>
            </w:tcMar>
            <w:vAlign w:val="center"/>
          </w:tcPr>
          <w:p w14:paraId="2B433753" w14:textId="77777777" w:rsidR="0034197F" w:rsidRDefault="0034197F" w:rsidP="00A0416C">
            <w:pPr>
              <w:tabs>
                <w:tab w:val="left" w:pos="432"/>
              </w:tabs>
              <w:spacing w:after="120" w:line="360" w:lineRule="auto"/>
              <w:jc w:val="both"/>
              <w:rPr>
                <w:rFonts w:ascii="Arial" w:eastAsia="Arial" w:hAnsi="Arial" w:cs="Arial"/>
                <w:color w:val="010000"/>
                <w:sz w:val="20"/>
                <w:szCs w:val="20"/>
              </w:rPr>
            </w:pPr>
          </w:p>
        </w:tc>
      </w:tr>
      <w:tr w:rsidR="0034197F" w14:paraId="4D524B93" w14:textId="77777777">
        <w:trPr>
          <w:jc w:val="center"/>
        </w:trPr>
        <w:tc>
          <w:tcPr>
            <w:tcW w:w="519" w:type="dxa"/>
            <w:shd w:val="clear" w:color="auto" w:fill="auto"/>
            <w:tcMar>
              <w:top w:w="0" w:type="dxa"/>
              <w:bottom w:w="0" w:type="dxa"/>
            </w:tcMar>
            <w:vAlign w:val="center"/>
          </w:tcPr>
          <w:p w14:paraId="5385A25C"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1931" w:type="dxa"/>
            <w:shd w:val="clear" w:color="auto" w:fill="auto"/>
            <w:tcMar>
              <w:top w:w="0" w:type="dxa"/>
              <w:bottom w:w="0" w:type="dxa"/>
            </w:tcMar>
            <w:vAlign w:val="center"/>
          </w:tcPr>
          <w:p w14:paraId="48B288CD" w14:textId="52E90F0A"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Basic </w:t>
            </w:r>
            <w:proofErr w:type="spellStart"/>
            <w:r>
              <w:rPr>
                <w:rFonts w:ascii="Arial" w:hAnsi="Arial"/>
                <w:color w:val="010000"/>
                <w:sz w:val="20"/>
              </w:rPr>
              <w:t>earning</w:t>
            </w:r>
            <w:proofErr w:type="spellEnd"/>
            <w:r>
              <w:rPr>
                <w:rFonts w:ascii="Arial" w:hAnsi="Arial"/>
                <w:color w:val="010000"/>
                <w:sz w:val="20"/>
              </w:rPr>
              <w:t xml:space="preserve"> per share</w:t>
            </w:r>
          </w:p>
        </w:tc>
        <w:tc>
          <w:tcPr>
            <w:tcW w:w="1026" w:type="dxa"/>
            <w:shd w:val="clear" w:color="auto" w:fill="auto"/>
            <w:tcMar>
              <w:top w:w="0" w:type="dxa"/>
              <w:bottom w:w="0" w:type="dxa"/>
            </w:tcMar>
            <w:vAlign w:val="center"/>
          </w:tcPr>
          <w:p w14:paraId="0436F119" w14:textId="77777777" w:rsidR="0034197F" w:rsidRDefault="0034197F" w:rsidP="00A0416C">
            <w:pPr>
              <w:tabs>
                <w:tab w:val="left" w:pos="432"/>
              </w:tabs>
              <w:spacing w:after="120" w:line="360" w:lineRule="auto"/>
              <w:jc w:val="both"/>
              <w:rPr>
                <w:rFonts w:ascii="Arial" w:eastAsia="Arial" w:hAnsi="Arial" w:cs="Arial"/>
                <w:color w:val="010000"/>
                <w:sz w:val="20"/>
                <w:szCs w:val="20"/>
              </w:rPr>
            </w:pPr>
          </w:p>
        </w:tc>
        <w:tc>
          <w:tcPr>
            <w:tcW w:w="1407" w:type="dxa"/>
            <w:shd w:val="clear" w:color="auto" w:fill="auto"/>
            <w:tcMar>
              <w:top w:w="0" w:type="dxa"/>
              <w:bottom w:w="0" w:type="dxa"/>
            </w:tcMar>
            <w:vAlign w:val="center"/>
          </w:tcPr>
          <w:p w14:paraId="4ACC10A4" w14:textId="77777777" w:rsidR="0034197F" w:rsidRDefault="0034197F" w:rsidP="00A0416C">
            <w:pPr>
              <w:tabs>
                <w:tab w:val="left" w:pos="432"/>
              </w:tabs>
              <w:spacing w:after="120" w:line="360" w:lineRule="auto"/>
              <w:jc w:val="both"/>
              <w:rPr>
                <w:rFonts w:ascii="Arial" w:eastAsia="Arial" w:hAnsi="Arial" w:cs="Arial"/>
                <w:color w:val="010000"/>
                <w:sz w:val="20"/>
                <w:szCs w:val="20"/>
              </w:rPr>
            </w:pPr>
          </w:p>
        </w:tc>
        <w:tc>
          <w:tcPr>
            <w:tcW w:w="1416" w:type="dxa"/>
            <w:shd w:val="clear" w:color="auto" w:fill="auto"/>
            <w:tcMar>
              <w:top w:w="0" w:type="dxa"/>
              <w:bottom w:w="0" w:type="dxa"/>
            </w:tcMar>
            <w:vAlign w:val="center"/>
          </w:tcPr>
          <w:p w14:paraId="11A74523" w14:textId="77777777" w:rsidR="0034197F" w:rsidRDefault="0034197F" w:rsidP="00A0416C">
            <w:pPr>
              <w:tabs>
                <w:tab w:val="left" w:pos="432"/>
              </w:tabs>
              <w:spacing w:after="120" w:line="360" w:lineRule="auto"/>
              <w:jc w:val="both"/>
              <w:rPr>
                <w:rFonts w:ascii="Arial" w:eastAsia="Arial" w:hAnsi="Arial" w:cs="Arial"/>
                <w:color w:val="010000"/>
                <w:sz w:val="20"/>
                <w:szCs w:val="20"/>
              </w:rPr>
            </w:pPr>
          </w:p>
        </w:tc>
        <w:tc>
          <w:tcPr>
            <w:tcW w:w="1416" w:type="dxa"/>
            <w:shd w:val="clear" w:color="auto" w:fill="auto"/>
            <w:tcMar>
              <w:top w:w="0" w:type="dxa"/>
              <w:bottom w:w="0" w:type="dxa"/>
            </w:tcMar>
            <w:vAlign w:val="center"/>
          </w:tcPr>
          <w:p w14:paraId="59141639" w14:textId="77777777" w:rsidR="0034197F" w:rsidRDefault="0034197F" w:rsidP="00A0416C">
            <w:pPr>
              <w:tabs>
                <w:tab w:val="left" w:pos="432"/>
              </w:tabs>
              <w:spacing w:after="120" w:line="360" w:lineRule="auto"/>
              <w:jc w:val="both"/>
              <w:rPr>
                <w:rFonts w:ascii="Arial" w:eastAsia="Arial" w:hAnsi="Arial" w:cs="Arial"/>
                <w:color w:val="010000"/>
                <w:sz w:val="20"/>
                <w:szCs w:val="20"/>
              </w:rPr>
            </w:pPr>
          </w:p>
        </w:tc>
        <w:tc>
          <w:tcPr>
            <w:tcW w:w="1302" w:type="dxa"/>
            <w:shd w:val="clear" w:color="auto" w:fill="auto"/>
            <w:tcMar>
              <w:top w:w="0" w:type="dxa"/>
              <w:bottom w:w="0" w:type="dxa"/>
            </w:tcMar>
            <w:vAlign w:val="center"/>
          </w:tcPr>
          <w:p w14:paraId="72A55F9F"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4,307</w:t>
            </w:r>
          </w:p>
        </w:tc>
      </w:tr>
    </w:tbl>
    <w:p w14:paraId="692A2722"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Key planned targets for 2024 submitted to the General Meeting of Shareholders for approval:</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481"/>
        <w:gridCol w:w="1845"/>
        <w:gridCol w:w="1594"/>
        <w:gridCol w:w="1459"/>
        <w:gridCol w:w="1071"/>
      </w:tblGrid>
      <w:tr w:rsidR="0034197F" w14:paraId="6F40834E" w14:textId="77777777">
        <w:trPr>
          <w:tblHeader/>
        </w:trPr>
        <w:tc>
          <w:tcPr>
            <w:tcW w:w="567" w:type="dxa"/>
            <w:shd w:val="clear" w:color="auto" w:fill="auto"/>
            <w:tcMar>
              <w:top w:w="0" w:type="dxa"/>
              <w:bottom w:w="0" w:type="dxa"/>
            </w:tcMar>
            <w:vAlign w:val="center"/>
          </w:tcPr>
          <w:p w14:paraId="112C304D"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481" w:type="dxa"/>
            <w:shd w:val="clear" w:color="auto" w:fill="auto"/>
            <w:tcMar>
              <w:top w:w="0" w:type="dxa"/>
              <w:bottom w:w="0" w:type="dxa"/>
            </w:tcMar>
            <w:vAlign w:val="center"/>
          </w:tcPr>
          <w:p w14:paraId="6745B17E"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845" w:type="dxa"/>
            <w:shd w:val="clear" w:color="auto" w:fill="auto"/>
            <w:tcMar>
              <w:top w:w="0" w:type="dxa"/>
              <w:bottom w:w="0" w:type="dxa"/>
            </w:tcMar>
            <w:vAlign w:val="center"/>
          </w:tcPr>
          <w:p w14:paraId="77B71F76"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594" w:type="dxa"/>
            <w:shd w:val="clear" w:color="auto" w:fill="auto"/>
            <w:tcMar>
              <w:top w:w="0" w:type="dxa"/>
              <w:bottom w:w="0" w:type="dxa"/>
            </w:tcMar>
            <w:vAlign w:val="center"/>
          </w:tcPr>
          <w:p w14:paraId="473EF943"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2024 Plan </w:t>
            </w:r>
          </w:p>
        </w:tc>
        <w:tc>
          <w:tcPr>
            <w:tcW w:w="1459" w:type="dxa"/>
            <w:shd w:val="clear" w:color="auto" w:fill="auto"/>
            <w:tcMar>
              <w:top w:w="0" w:type="dxa"/>
              <w:bottom w:w="0" w:type="dxa"/>
            </w:tcMar>
            <w:vAlign w:val="center"/>
          </w:tcPr>
          <w:p w14:paraId="55ED61DF"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 Results</w:t>
            </w:r>
          </w:p>
        </w:tc>
        <w:tc>
          <w:tcPr>
            <w:tcW w:w="1071" w:type="dxa"/>
            <w:shd w:val="clear" w:color="auto" w:fill="auto"/>
            <w:tcMar>
              <w:top w:w="0" w:type="dxa"/>
              <w:bottom w:w="0" w:type="dxa"/>
            </w:tcMar>
            <w:vAlign w:val="center"/>
          </w:tcPr>
          <w:p w14:paraId="0ED07C62"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 (%)</w:t>
            </w:r>
          </w:p>
        </w:tc>
      </w:tr>
      <w:tr w:rsidR="0034197F" w14:paraId="4508D749" w14:textId="77777777">
        <w:tc>
          <w:tcPr>
            <w:tcW w:w="567" w:type="dxa"/>
            <w:shd w:val="clear" w:color="auto" w:fill="auto"/>
            <w:tcMar>
              <w:top w:w="0" w:type="dxa"/>
              <w:bottom w:w="0" w:type="dxa"/>
            </w:tcMar>
            <w:vAlign w:val="center"/>
          </w:tcPr>
          <w:p w14:paraId="18FA4106"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481" w:type="dxa"/>
            <w:shd w:val="clear" w:color="auto" w:fill="auto"/>
            <w:tcMar>
              <w:top w:w="0" w:type="dxa"/>
              <w:bottom w:w="0" w:type="dxa"/>
            </w:tcMar>
            <w:vAlign w:val="center"/>
          </w:tcPr>
          <w:p w14:paraId="539D360E"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Publish educational publications</w:t>
            </w:r>
          </w:p>
        </w:tc>
        <w:tc>
          <w:tcPr>
            <w:tcW w:w="1845" w:type="dxa"/>
            <w:shd w:val="clear" w:color="auto" w:fill="auto"/>
            <w:tcMar>
              <w:top w:w="0" w:type="dxa"/>
              <w:bottom w:w="0" w:type="dxa"/>
            </w:tcMar>
            <w:vAlign w:val="center"/>
          </w:tcPr>
          <w:p w14:paraId="512F9DBD"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million copies</w:t>
            </w:r>
          </w:p>
        </w:tc>
        <w:tc>
          <w:tcPr>
            <w:tcW w:w="1594" w:type="dxa"/>
            <w:shd w:val="clear" w:color="auto" w:fill="auto"/>
            <w:tcMar>
              <w:top w:w="0" w:type="dxa"/>
              <w:bottom w:w="0" w:type="dxa"/>
            </w:tcMar>
            <w:vAlign w:val="center"/>
          </w:tcPr>
          <w:p w14:paraId="2AC32FA8"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56.997</w:t>
            </w:r>
          </w:p>
        </w:tc>
        <w:tc>
          <w:tcPr>
            <w:tcW w:w="1459" w:type="dxa"/>
            <w:shd w:val="clear" w:color="auto" w:fill="auto"/>
            <w:tcMar>
              <w:top w:w="0" w:type="dxa"/>
              <w:bottom w:w="0" w:type="dxa"/>
            </w:tcMar>
            <w:vAlign w:val="center"/>
          </w:tcPr>
          <w:p w14:paraId="1D080B43"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54.176</w:t>
            </w:r>
          </w:p>
        </w:tc>
        <w:tc>
          <w:tcPr>
            <w:tcW w:w="1071" w:type="dxa"/>
            <w:shd w:val="clear" w:color="auto" w:fill="auto"/>
            <w:tcMar>
              <w:top w:w="0" w:type="dxa"/>
              <w:bottom w:w="0" w:type="dxa"/>
            </w:tcMar>
            <w:vAlign w:val="center"/>
          </w:tcPr>
          <w:p w14:paraId="58A4CAE7"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105.2%</w:t>
            </w:r>
          </w:p>
        </w:tc>
      </w:tr>
      <w:tr w:rsidR="0034197F" w14:paraId="04DA7DBB" w14:textId="77777777">
        <w:tc>
          <w:tcPr>
            <w:tcW w:w="567" w:type="dxa"/>
            <w:shd w:val="clear" w:color="auto" w:fill="auto"/>
            <w:tcMar>
              <w:top w:w="0" w:type="dxa"/>
              <w:bottom w:w="0" w:type="dxa"/>
            </w:tcMar>
            <w:vAlign w:val="center"/>
          </w:tcPr>
          <w:p w14:paraId="7F37DD6A"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481" w:type="dxa"/>
            <w:shd w:val="clear" w:color="auto" w:fill="auto"/>
            <w:tcMar>
              <w:top w:w="0" w:type="dxa"/>
              <w:bottom w:w="0" w:type="dxa"/>
            </w:tcMar>
            <w:vAlign w:val="center"/>
          </w:tcPr>
          <w:p w14:paraId="1D3619CE"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Capacity utilization of HEID Building</w:t>
            </w:r>
          </w:p>
        </w:tc>
        <w:tc>
          <w:tcPr>
            <w:tcW w:w="1845" w:type="dxa"/>
            <w:shd w:val="clear" w:color="auto" w:fill="auto"/>
            <w:tcMar>
              <w:top w:w="0" w:type="dxa"/>
              <w:bottom w:w="0" w:type="dxa"/>
            </w:tcMar>
            <w:vAlign w:val="center"/>
          </w:tcPr>
          <w:p w14:paraId="3F88B5B3"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1594" w:type="dxa"/>
            <w:shd w:val="clear" w:color="auto" w:fill="auto"/>
            <w:tcMar>
              <w:top w:w="0" w:type="dxa"/>
              <w:bottom w:w="0" w:type="dxa"/>
            </w:tcMar>
            <w:vAlign w:val="center"/>
          </w:tcPr>
          <w:p w14:paraId="7AAF60E7"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459" w:type="dxa"/>
            <w:shd w:val="clear" w:color="auto" w:fill="auto"/>
            <w:tcMar>
              <w:top w:w="0" w:type="dxa"/>
              <w:bottom w:w="0" w:type="dxa"/>
            </w:tcMar>
            <w:vAlign w:val="center"/>
          </w:tcPr>
          <w:p w14:paraId="352565B2"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071" w:type="dxa"/>
            <w:shd w:val="clear" w:color="auto" w:fill="auto"/>
            <w:tcMar>
              <w:top w:w="0" w:type="dxa"/>
              <w:bottom w:w="0" w:type="dxa"/>
            </w:tcMar>
            <w:vAlign w:val="center"/>
          </w:tcPr>
          <w:p w14:paraId="76BB272A"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r>
      <w:tr w:rsidR="0034197F" w14:paraId="3C5AD4A1" w14:textId="77777777">
        <w:tc>
          <w:tcPr>
            <w:tcW w:w="567" w:type="dxa"/>
            <w:shd w:val="clear" w:color="auto" w:fill="auto"/>
            <w:tcMar>
              <w:top w:w="0" w:type="dxa"/>
              <w:bottom w:w="0" w:type="dxa"/>
            </w:tcMar>
            <w:vAlign w:val="center"/>
          </w:tcPr>
          <w:p w14:paraId="4D1631FE"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481" w:type="dxa"/>
            <w:shd w:val="clear" w:color="auto" w:fill="auto"/>
            <w:tcMar>
              <w:top w:w="0" w:type="dxa"/>
              <w:bottom w:w="0" w:type="dxa"/>
            </w:tcMar>
            <w:vAlign w:val="center"/>
          </w:tcPr>
          <w:p w14:paraId="6788CCEA"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 from goods sold and services provided</w:t>
            </w:r>
          </w:p>
        </w:tc>
        <w:tc>
          <w:tcPr>
            <w:tcW w:w="1845" w:type="dxa"/>
            <w:shd w:val="clear" w:color="auto" w:fill="auto"/>
            <w:tcMar>
              <w:top w:w="0" w:type="dxa"/>
              <w:bottom w:w="0" w:type="dxa"/>
            </w:tcMar>
            <w:vAlign w:val="center"/>
          </w:tcPr>
          <w:p w14:paraId="062A1F94"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94" w:type="dxa"/>
            <w:shd w:val="clear" w:color="auto" w:fill="auto"/>
            <w:tcMar>
              <w:top w:w="0" w:type="dxa"/>
              <w:bottom w:w="0" w:type="dxa"/>
            </w:tcMar>
            <w:vAlign w:val="center"/>
          </w:tcPr>
          <w:p w14:paraId="190A19D4"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936</w:t>
            </w:r>
          </w:p>
        </w:tc>
        <w:tc>
          <w:tcPr>
            <w:tcW w:w="1459" w:type="dxa"/>
            <w:shd w:val="clear" w:color="auto" w:fill="auto"/>
            <w:tcMar>
              <w:top w:w="0" w:type="dxa"/>
              <w:bottom w:w="0" w:type="dxa"/>
            </w:tcMar>
            <w:vAlign w:val="center"/>
          </w:tcPr>
          <w:p w14:paraId="338DA22C"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1,068</w:t>
            </w:r>
          </w:p>
        </w:tc>
        <w:tc>
          <w:tcPr>
            <w:tcW w:w="1071" w:type="dxa"/>
            <w:shd w:val="clear" w:color="auto" w:fill="auto"/>
            <w:tcMar>
              <w:top w:w="0" w:type="dxa"/>
              <w:bottom w:w="0" w:type="dxa"/>
            </w:tcMar>
            <w:vAlign w:val="center"/>
          </w:tcPr>
          <w:p w14:paraId="5B9348C0"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87.6%</w:t>
            </w:r>
          </w:p>
        </w:tc>
      </w:tr>
      <w:tr w:rsidR="0034197F" w14:paraId="5021AE69" w14:textId="77777777">
        <w:tc>
          <w:tcPr>
            <w:tcW w:w="567" w:type="dxa"/>
            <w:shd w:val="clear" w:color="auto" w:fill="auto"/>
            <w:tcMar>
              <w:top w:w="0" w:type="dxa"/>
              <w:bottom w:w="0" w:type="dxa"/>
            </w:tcMar>
            <w:vAlign w:val="center"/>
          </w:tcPr>
          <w:p w14:paraId="039BE707"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481" w:type="dxa"/>
            <w:shd w:val="clear" w:color="auto" w:fill="auto"/>
            <w:tcMar>
              <w:top w:w="0" w:type="dxa"/>
              <w:bottom w:w="0" w:type="dxa"/>
            </w:tcMar>
            <w:vAlign w:val="center"/>
          </w:tcPr>
          <w:p w14:paraId="0EFAB669"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w:t>
            </w:r>
          </w:p>
        </w:tc>
        <w:tc>
          <w:tcPr>
            <w:tcW w:w="1845" w:type="dxa"/>
            <w:shd w:val="clear" w:color="auto" w:fill="auto"/>
            <w:tcMar>
              <w:top w:w="0" w:type="dxa"/>
              <w:bottom w:w="0" w:type="dxa"/>
            </w:tcMar>
            <w:vAlign w:val="center"/>
          </w:tcPr>
          <w:p w14:paraId="43349CD5"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594" w:type="dxa"/>
            <w:shd w:val="clear" w:color="auto" w:fill="auto"/>
            <w:tcMar>
              <w:top w:w="0" w:type="dxa"/>
              <w:bottom w:w="0" w:type="dxa"/>
            </w:tcMar>
            <w:vAlign w:val="center"/>
          </w:tcPr>
          <w:p w14:paraId="5471642E"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64</w:t>
            </w:r>
          </w:p>
        </w:tc>
        <w:tc>
          <w:tcPr>
            <w:tcW w:w="1459" w:type="dxa"/>
            <w:shd w:val="clear" w:color="auto" w:fill="auto"/>
            <w:tcMar>
              <w:top w:w="0" w:type="dxa"/>
              <w:bottom w:w="0" w:type="dxa"/>
            </w:tcMar>
            <w:vAlign w:val="center"/>
          </w:tcPr>
          <w:p w14:paraId="1D1D1985"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90</w:t>
            </w:r>
          </w:p>
        </w:tc>
        <w:tc>
          <w:tcPr>
            <w:tcW w:w="1071" w:type="dxa"/>
            <w:shd w:val="clear" w:color="auto" w:fill="auto"/>
            <w:tcMar>
              <w:top w:w="0" w:type="dxa"/>
              <w:bottom w:w="0" w:type="dxa"/>
            </w:tcMar>
            <w:vAlign w:val="center"/>
          </w:tcPr>
          <w:p w14:paraId="0068D0DF"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71.1%</w:t>
            </w:r>
          </w:p>
        </w:tc>
      </w:tr>
      <w:tr w:rsidR="0034197F" w14:paraId="16AE91C7" w14:textId="77777777">
        <w:tc>
          <w:tcPr>
            <w:tcW w:w="567" w:type="dxa"/>
            <w:shd w:val="clear" w:color="auto" w:fill="auto"/>
            <w:tcMar>
              <w:top w:w="0" w:type="dxa"/>
              <w:bottom w:w="0" w:type="dxa"/>
            </w:tcMar>
            <w:vAlign w:val="center"/>
          </w:tcPr>
          <w:p w14:paraId="372CE337"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481" w:type="dxa"/>
            <w:shd w:val="clear" w:color="auto" w:fill="auto"/>
            <w:tcMar>
              <w:top w:w="0" w:type="dxa"/>
              <w:bottom w:w="0" w:type="dxa"/>
            </w:tcMar>
            <w:vAlign w:val="center"/>
          </w:tcPr>
          <w:p w14:paraId="50157A83"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1845" w:type="dxa"/>
            <w:shd w:val="clear" w:color="auto" w:fill="auto"/>
            <w:tcMar>
              <w:top w:w="0" w:type="dxa"/>
              <w:bottom w:w="0" w:type="dxa"/>
            </w:tcMar>
            <w:vAlign w:val="center"/>
          </w:tcPr>
          <w:p w14:paraId="6309E302"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1594" w:type="dxa"/>
            <w:shd w:val="clear" w:color="auto" w:fill="auto"/>
            <w:tcMar>
              <w:top w:w="0" w:type="dxa"/>
              <w:bottom w:w="0" w:type="dxa"/>
            </w:tcMar>
            <w:vAlign w:val="center"/>
          </w:tcPr>
          <w:p w14:paraId="0D56A164"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 less than 14</w:t>
            </w:r>
          </w:p>
        </w:tc>
        <w:tc>
          <w:tcPr>
            <w:tcW w:w="1459" w:type="dxa"/>
            <w:shd w:val="clear" w:color="auto" w:fill="auto"/>
            <w:tcMar>
              <w:top w:w="0" w:type="dxa"/>
              <w:bottom w:w="0" w:type="dxa"/>
            </w:tcMar>
            <w:vAlign w:val="center"/>
          </w:tcPr>
          <w:p w14:paraId="4F7A2EC0"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w:t>
            </w:r>
          </w:p>
        </w:tc>
        <w:tc>
          <w:tcPr>
            <w:tcW w:w="1071" w:type="dxa"/>
            <w:shd w:val="clear" w:color="auto" w:fill="auto"/>
            <w:tcMar>
              <w:top w:w="0" w:type="dxa"/>
              <w:bottom w:w="0" w:type="dxa"/>
            </w:tcMar>
            <w:vAlign w:val="center"/>
          </w:tcPr>
          <w:p w14:paraId="1D606926" w14:textId="77777777" w:rsidR="0034197F" w:rsidRDefault="007565B6" w:rsidP="00A0416C">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r>
    </w:tbl>
    <w:p w14:paraId="421B30E5"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activities of the Supervisory Board in 2023 and the Operational plan for 2024.</w:t>
      </w:r>
    </w:p>
    <w:p w14:paraId="282FA479"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4. Approve the audited separate and consolidated Financial Statements 2023.</w:t>
      </w:r>
    </w:p>
    <w:p w14:paraId="46C58348"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on profit distribution plan for 2023 and plan for 2024.</w:t>
      </w:r>
    </w:p>
    <w:p w14:paraId="224A4C61"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 Profit distribution plan for 2023</w:t>
      </w:r>
    </w:p>
    <w:p w14:paraId="1760FC4F" w14:textId="6B16AA11"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r w:rsidR="004E11D8">
        <w:rPr>
          <w:rFonts w:ascii="Arial" w:hAnsi="Arial"/>
          <w:color w:val="010000"/>
          <w:sz w:val="20"/>
        </w:rPr>
        <w:t>According</w:t>
      </w:r>
      <w:r>
        <w:rPr>
          <w:rFonts w:ascii="Arial" w:hAnsi="Arial"/>
          <w:color w:val="010000"/>
          <w:sz w:val="20"/>
        </w:rPr>
        <w:t xml:space="preserve"> to the plan approved by the Annual General Meeting of Shareholders in 2023):</w:t>
      </w:r>
    </w:p>
    <w:p w14:paraId="7EBC18B8"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for dividends and fund deduction: VND 69.513 billion;</w:t>
      </w:r>
    </w:p>
    <w:p w14:paraId="110D49A0"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which:</w:t>
      </w:r>
    </w:p>
    <w:p w14:paraId="45CE3F7D" w14:textId="77777777" w:rsidR="0034197F" w:rsidRDefault="007565B6" w:rsidP="00A0416C">
      <w:pPr>
        <w:numPr>
          <w:ilvl w:val="0"/>
          <w:numId w:val="1"/>
        </w:numPr>
        <w:pBdr>
          <w:top w:val="nil"/>
          <w:left w:val="nil"/>
          <w:bottom w:val="nil"/>
          <w:right w:val="nil"/>
          <w:between w:val="nil"/>
        </w:pBdr>
        <w:tabs>
          <w:tab w:val="left" w:pos="432"/>
          <w:tab w:val="left" w:pos="718"/>
          <w:tab w:val="left" w:pos="5775"/>
        </w:tabs>
        <w:spacing w:after="120" w:line="360" w:lineRule="auto"/>
        <w:jc w:val="both"/>
        <w:rPr>
          <w:rFonts w:ascii="Arial" w:eastAsia="Arial" w:hAnsi="Arial" w:cs="Arial"/>
          <w:color w:val="010000"/>
          <w:sz w:val="20"/>
          <w:szCs w:val="20"/>
        </w:rPr>
      </w:pPr>
      <w:r>
        <w:rPr>
          <w:rFonts w:ascii="Arial" w:hAnsi="Arial"/>
          <w:color w:val="010000"/>
          <w:sz w:val="20"/>
        </w:rPr>
        <w:t>Dividend payment in 2023: 14% of charter capital.</w:t>
      </w:r>
    </w:p>
    <w:p w14:paraId="14667960" w14:textId="77777777" w:rsidR="0034197F" w:rsidRDefault="007565B6" w:rsidP="00A0416C">
      <w:pPr>
        <w:numPr>
          <w:ilvl w:val="0"/>
          <w:numId w:val="1"/>
        </w:numPr>
        <w:pBdr>
          <w:top w:val="nil"/>
          <w:left w:val="nil"/>
          <w:bottom w:val="nil"/>
          <w:right w:val="nil"/>
          <w:between w:val="nil"/>
        </w:pBdr>
        <w:tabs>
          <w:tab w:val="left" w:pos="432"/>
          <w:tab w:val="left" w:pos="718"/>
          <w:tab w:val="right" w:pos="6323"/>
          <w:tab w:val="right" w:pos="7385"/>
          <w:tab w:val="right" w:pos="8272"/>
          <w:tab w:val="right" w:pos="8475"/>
        </w:tabs>
        <w:spacing w:after="120" w:line="360" w:lineRule="auto"/>
        <w:jc w:val="both"/>
        <w:rPr>
          <w:rFonts w:ascii="Arial" w:eastAsia="Arial" w:hAnsi="Arial" w:cs="Arial"/>
          <w:color w:val="010000"/>
          <w:sz w:val="20"/>
          <w:szCs w:val="20"/>
        </w:rPr>
      </w:pPr>
      <w:r>
        <w:rPr>
          <w:rFonts w:ascii="Arial" w:hAnsi="Arial"/>
          <w:color w:val="010000"/>
          <w:sz w:val="20"/>
        </w:rPr>
        <w:t>Appropriation for Investment and development fund: 10% of profit after tax</w:t>
      </w:r>
    </w:p>
    <w:p w14:paraId="3A4B1EFC" w14:textId="77777777" w:rsidR="0034197F" w:rsidRDefault="007565B6" w:rsidP="00A0416C">
      <w:pPr>
        <w:numPr>
          <w:ilvl w:val="0"/>
          <w:numId w:val="1"/>
        </w:numPr>
        <w:pBdr>
          <w:top w:val="nil"/>
          <w:left w:val="nil"/>
          <w:bottom w:val="nil"/>
          <w:right w:val="nil"/>
          <w:between w:val="nil"/>
        </w:pBdr>
        <w:tabs>
          <w:tab w:val="left" w:pos="432"/>
          <w:tab w:val="left" w:pos="718"/>
          <w:tab w:val="right" w:pos="6323"/>
          <w:tab w:val="right" w:pos="7385"/>
          <w:tab w:val="right" w:pos="8272"/>
          <w:tab w:val="right" w:pos="8470"/>
        </w:tabs>
        <w:spacing w:after="120" w:line="360" w:lineRule="auto"/>
        <w:jc w:val="both"/>
        <w:rPr>
          <w:rFonts w:ascii="Arial" w:eastAsia="Arial" w:hAnsi="Arial" w:cs="Arial"/>
          <w:color w:val="010000"/>
          <w:sz w:val="20"/>
          <w:szCs w:val="20"/>
        </w:rPr>
      </w:pPr>
      <w:r>
        <w:rPr>
          <w:rFonts w:ascii="Arial" w:hAnsi="Arial"/>
          <w:color w:val="010000"/>
          <w:sz w:val="20"/>
        </w:rPr>
        <w:t>Appropriation for other funds under equity: 5% of profit after tax</w:t>
      </w:r>
    </w:p>
    <w:p w14:paraId="6EF06B7B" w14:textId="77777777" w:rsidR="0034197F" w:rsidRDefault="007565B6" w:rsidP="00A0416C">
      <w:pPr>
        <w:numPr>
          <w:ilvl w:val="0"/>
          <w:numId w:val="1"/>
        </w:numPr>
        <w:pBdr>
          <w:top w:val="nil"/>
          <w:left w:val="nil"/>
          <w:bottom w:val="nil"/>
          <w:right w:val="nil"/>
          <w:between w:val="nil"/>
        </w:pBdr>
        <w:tabs>
          <w:tab w:val="left" w:pos="432"/>
          <w:tab w:val="left" w:pos="718"/>
          <w:tab w:val="right" w:pos="6323"/>
          <w:tab w:val="right" w:pos="7385"/>
          <w:tab w:val="right" w:pos="8272"/>
          <w:tab w:val="right" w:pos="8470"/>
        </w:tabs>
        <w:spacing w:after="120" w:line="360" w:lineRule="auto"/>
        <w:jc w:val="both"/>
        <w:rPr>
          <w:rFonts w:ascii="Arial" w:eastAsia="Arial" w:hAnsi="Arial" w:cs="Arial"/>
          <w:color w:val="010000"/>
          <w:sz w:val="20"/>
          <w:szCs w:val="20"/>
        </w:rPr>
      </w:pPr>
      <w:r>
        <w:rPr>
          <w:rFonts w:ascii="Arial" w:hAnsi="Arial"/>
          <w:color w:val="010000"/>
          <w:sz w:val="20"/>
        </w:rPr>
        <w:t>Appropriation for bonus fund: 5% of profit after tax</w:t>
      </w:r>
    </w:p>
    <w:p w14:paraId="185847E5" w14:textId="77777777" w:rsidR="0034197F" w:rsidRDefault="007565B6" w:rsidP="00A0416C">
      <w:pPr>
        <w:numPr>
          <w:ilvl w:val="0"/>
          <w:numId w:val="1"/>
        </w:numPr>
        <w:pBdr>
          <w:top w:val="nil"/>
          <w:left w:val="nil"/>
          <w:bottom w:val="nil"/>
          <w:right w:val="nil"/>
          <w:between w:val="nil"/>
        </w:pBdr>
        <w:tabs>
          <w:tab w:val="left" w:pos="432"/>
          <w:tab w:val="left" w:pos="718"/>
          <w:tab w:val="right" w:pos="6323"/>
          <w:tab w:val="right" w:pos="7385"/>
          <w:tab w:val="right" w:pos="8272"/>
          <w:tab w:val="right" w:pos="8470"/>
        </w:tabs>
        <w:spacing w:after="120" w:line="360" w:lineRule="auto"/>
        <w:jc w:val="both"/>
        <w:rPr>
          <w:rFonts w:ascii="Arial" w:eastAsia="Arial" w:hAnsi="Arial" w:cs="Arial"/>
          <w:color w:val="010000"/>
          <w:sz w:val="20"/>
          <w:szCs w:val="20"/>
        </w:rPr>
      </w:pPr>
      <w:r>
        <w:rPr>
          <w:rFonts w:ascii="Arial" w:hAnsi="Arial"/>
          <w:color w:val="010000"/>
          <w:sz w:val="20"/>
        </w:rPr>
        <w:t>Appropriation for welfare fund: 5% of profit after tax</w:t>
      </w:r>
    </w:p>
    <w:p w14:paraId="0DCAD990" w14:textId="77777777" w:rsidR="0034197F" w:rsidRDefault="007565B6" w:rsidP="00A0416C">
      <w:pPr>
        <w:numPr>
          <w:ilvl w:val="0"/>
          <w:numId w:val="1"/>
        </w:numPr>
        <w:pBdr>
          <w:top w:val="nil"/>
          <w:left w:val="nil"/>
          <w:bottom w:val="nil"/>
          <w:right w:val="nil"/>
          <w:between w:val="nil"/>
        </w:pBdr>
        <w:tabs>
          <w:tab w:val="left" w:pos="432"/>
          <w:tab w:val="left" w:pos="718"/>
          <w:tab w:val="right" w:pos="6323"/>
          <w:tab w:val="right" w:pos="7385"/>
          <w:tab w:val="right" w:pos="8272"/>
          <w:tab w:val="right" w:pos="8470"/>
        </w:tabs>
        <w:spacing w:after="120" w:line="360" w:lineRule="auto"/>
        <w:jc w:val="both"/>
        <w:rPr>
          <w:rFonts w:ascii="Arial" w:eastAsia="Arial" w:hAnsi="Arial" w:cs="Arial"/>
          <w:color w:val="010000"/>
          <w:sz w:val="20"/>
          <w:szCs w:val="20"/>
        </w:rPr>
      </w:pPr>
      <w:r>
        <w:rPr>
          <w:rFonts w:ascii="Arial" w:hAnsi="Arial"/>
          <w:color w:val="010000"/>
          <w:sz w:val="20"/>
        </w:rPr>
        <w:t>Appropriation for the operating fund of the Board of Directors and Supervisory Board: 5% of profit after tax</w:t>
      </w:r>
    </w:p>
    <w:p w14:paraId="3A0913B9"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remaining profit is allocated to the investment and development fund.</w:t>
      </w:r>
    </w:p>
    <w:p w14:paraId="094672B5"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 Profit distribution plan for 2024:</w:t>
      </w:r>
    </w:p>
    <w:p w14:paraId="6EAB3CB4" w14:textId="77777777" w:rsidR="0034197F" w:rsidRDefault="007565B6" w:rsidP="00A0416C">
      <w:pPr>
        <w:numPr>
          <w:ilvl w:val="0"/>
          <w:numId w:val="1"/>
        </w:numPr>
        <w:pBdr>
          <w:top w:val="nil"/>
          <w:left w:val="nil"/>
          <w:bottom w:val="nil"/>
          <w:right w:val="nil"/>
          <w:between w:val="nil"/>
        </w:pBdr>
        <w:tabs>
          <w:tab w:val="left" w:pos="432"/>
          <w:tab w:val="left" w:pos="718"/>
          <w:tab w:val="left" w:pos="5775"/>
        </w:tabs>
        <w:spacing w:after="120" w:line="360" w:lineRule="auto"/>
        <w:jc w:val="both"/>
        <w:rPr>
          <w:rFonts w:ascii="Arial" w:eastAsia="Arial" w:hAnsi="Arial" w:cs="Arial"/>
          <w:color w:val="010000"/>
          <w:sz w:val="20"/>
          <w:szCs w:val="20"/>
        </w:rPr>
      </w:pPr>
      <w:r>
        <w:rPr>
          <w:rFonts w:ascii="Arial" w:hAnsi="Arial"/>
          <w:color w:val="010000"/>
          <w:sz w:val="20"/>
        </w:rPr>
        <w:t>Dividend payment in 2024: Minimum 14% of the charter capital.</w:t>
      </w:r>
    </w:p>
    <w:p w14:paraId="3A44B303" w14:textId="77777777" w:rsidR="0034197F" w:rsidRDefault="007565B6" w:rsidP="00A0416C">
      <w:pPr>
        <w:numPr>
          <w:ilvl w:val="0"/>
          <w:numId w:val="1"/>
        </w:numPr>
        <w:pBdr>
          <w:top w:val="nil"/>
          <w:left w:val="nil"/>
          <w:bottom w:val="nil"/>
          <w:right w:val="nil"/>
          <w:between w:val="nil"/>
        </w:pBdr>
        <w:tabs>
          <w:tab w:val="left" w:pos="432"/>
          <w:tab w:val="left" w:pos="718"/>
          <w:tab w:val="right" w:pos="6323"/>
          <w:tab w:val="right" w:pos="8272"/>
          <w:tab w:val="right" w:pos="8470"/>
        </w:tabs>
        <w:spacing w:after="120" w:line="360" w:lineRule="auto"/>
        <w:jc w:val="both"/>
        <w:rPr>
          <w:rFonts w:ascii="Arial" w:eastAsia="Arial" w:hAnsi="Arial" w:cs="Arial"/>
          <w:color w:val="010000"/>
          <w:sz w:val="20"/>
          <w:szCs w:val="20"/>
        </w:rPr>
      </w:pPr>
      <w:r>
        <w:rPr>
          <w:rFonts w:ascii="Arial" w:hAnsi="Arial"/>
          <w:color w:val="010000"/>
          <w:sz w:val="20"/>
        </w:rPr>
        <w:t>Appropriation for Investment and development fund: 10% of profit after tax</w:t>
      </w:r>
    </w:p>
    <w:p w14:paraId="78944A09" w14:textId="77777777" w:rsidR="0034197F" w:rsidRDefault="007565B6" w:rsidP="00A0416C">
      <w:pPr>
        <w:numPr>
          <w:ilvl w:val="0"/>
          <w:numId w:val="1"/>
        </w:numPr>
        <w:pBdr>
          <w:top w:val="nil"/>
          <w:left w:val="nil"/>
          <w:bottom w:val="nil"/>
          <w:right w:val="nil"/>
          <w:between w:val="nil"/>
        </w:pBdr>
        <w:tabs>
          <w:tab w:val="left" w:pos="432"/>
          <w:tab w:val="left" w:pos="718"/>
          <w:tab w:val="center" w:pos="4045"/>
          <w:tab w:val="center" w:pos="4443"/>
          <w:tab w:val="right" w:pos="6323"/>
          <w:tab w:val="right" w:pos="8272"/>
          <w:tab w:val="right" w:pos="8475"/>
        </w:tabs>
        <w:spacing w:after="120" w:line="360" w:lineRule="auto"/>
        <w:jc w:val="both"/>
        <w:rPr>
          <w:rFonts w:ascii="Arial" w:eastAsia="Arial" w:hAnsi="Arial" w:cs="Arial"/>
          <w:color w:val="010000"/>
          <w:sz w:val="20"/>
          <w:szCs w:val="20"/>
        </w:rPr>
      </w:pPr>
      <w:r>
        <w:rPr>
          <w:rFonts w:ascii="Arial" w:hAnsi="Arial"/>
          <w:color w:val="010000"/>
          <w:sz w:val="20"/>
        </w:rPr>
        <w:t>Appropriation for other funds under equity: 5% of profit after tax</w:t>
      </w:r>
    </w:p>
    <w:p w14:paraId="6BE93434" w14:textId="77777777" w:rsidR="0034197F" w:rsidRDefault="007565B6" w:rsidP="00A0416C">
      <w:pPr>
        <w:numPr>
          <w:ilvl w:val="0"/>
          <w:numId w:val="1"/>
        </w:numPr>
        <w:pBdr>
          <w:top w:val="nil"/>
          <w:left w:val="nil"/>
          <w:bottom w:val="nil"/>
          <w:right w:val="nil"/>
          <w:between w:val="nil"/>
        </w:pBdr>
        <w:tabs>
          <w:tab w:val="left" w:pos="432"/>
          <w:tab w:val="left" w:pos="718"/>
          <w:tab w:val="right" w:pos="6323"/>
          <w:tab w:val="right" w:pos="8272"/>
          <w:tab w:val="right" w:pos="8475"/>
        </w:tabs>
        <w:spacing w:after="120" w:line="360" w:lineRule="auto"/>
        <w:jc w:val="both"/>
        <w:rPr>
          <w:rFonts w:ascii="Arial" w:eastAsia="Arial" w:hAnsi="Arial" w:cs="Arial"/>
          <w:color w:val="010000"/>
          <w:sz w:val="20"/>
          <w:szCs w:val="20"/>
        </w:rPr>
      </w:pPr>
      <w:r>
        <w:rPr>
          <w:rFonts w:ascii="Arial" w:hAnsi="Arial"/>
          <w:color w:val="010000"/>
          <w:sz w:val="20"/>
        </w:rPr>
        <w:t>Appropriation for bonus fund: 5% of profit after tax</w:t>
      </w:r>
    </w:p>
    <w:p w14:paraId="6C848F52" w14:textId="77777777" w:rsidR="0034197F" w:rsidRDefault="007565B6" w:rsidP="00A0416C">
      <w:pPr>
        <w:numPr>
          <w:ilvl w:val="0"/>
          <w:numId w:val="1"/>
        </w:numPr>
        <w:pBdr>
          <w:top w:val="nil"/>
          <w:left w:val="nil"/>
          <w:bottom w:val="nil"/>
          <w:right w:val="nil"/>
          <w:between w:val="nil"/>
        </w:pBdr>
        <w:tabs>
          <w:tab w:val="left" w:pos="432"/>
          <w:tab w:val="left" w:pos="718"/>
          <w:tab w:val="right" w:pos="6323"/>
          <w:tab w:val="right" w:pos="8272"/>
          <w:tab w:val="right" w:pos="8470"/>
        </w:tabs>
        <w:spacing w:after="120" w:line="360" w:lineRule="auto"/>
        <w:jc w:val="both"/>
        <w:rPr>
          <w:rFonts w:ascii="Arial" w:eastAsia="Arial" w:hAnsi="Arial" w:cs="Arial"/>
          <w:color w:val="010000"/>
          <w:sz w:val="20"/>
          <w:szCs w:val="20"/>
        </w:rPr>
      </w:pPr>
      <w:r>
        <w:rPr>
          <w:rFonts w:ascii="Arial" w:hAnsi="Arial"/>
          <w:color w:val="010000"/>
          <w:sz w:val="20"/>
        </w:rPr>
        <w:t>Appropriation for welfare fund: 5% of profit after tax</w:t>
      </w:r>
    </w:p>
    <w:p w14:paraId="347B344D" w14:textId="77777777" w:rsidR="0034197F" w:rsidRDefault="007565B6" w:rsidP="00A0416C">
      <w:pPr>
        <w:numPr>
          <w:ilvl w:val="0"/>
          <w:numId w:val="1"/>
        </w:numPr>
        <w:pBdr>
          <w:top w:val="nil"/>
          <w:left w:val="nil"/>
          <w:bottom w:val="nil"/>
          <w:right w:val="nil"/>
          <w:between w:val="nil"/>
        </w:pBdr>
        <w:tabs>
          <w:tab w:val="left" w:pos="432"/>
          <w:tab w:val="left" w:pos="718"/>
          <w:tab w:val="center" w:pos="4443"/>
          <w:tab w:val="right" w:pos="6323"/>
          <w:tab w:val="right" w:pos="8272"/>
          <w:tab w:val="right" w:pos="8475"/>
        </w:tabs>
        <w:spacing w:after="120" w:line="360" w:lineRule="auto"/>
        <w:jc w:val="both"/>
        <w:rPr>
          <w:rFonts w:ascii="Arial" w:eastAsia="Arial" w:hAnsi="Arial" w:cs="Arial"/>
          <w:color w:val="010000"/>
          <w:sz w:val="20"/>
          <w:szCs w:val="20"/>
        </w:rPr>
      </w:pPr>
      <w:r>
        <w:rPr>
          <w:rFonts w:ascii="Arial" w:hAnsi="Arial"/>
          <w:color w:val="010000"/>
          <w:sz w:val="20"/>
        </w:rPr>
        <w:t>Appropriation for the operating fund of the Board of Directors and Supervisory Board: 5% of profit after tax</w:t>
      </w:r>
    </w:p>
    <w:p w14:paraId="75923D05"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payment of cash dividends for 2023.</w:t>
      </w:r>
    </w:p>
    <w:p w14:paraId="063BDADC" w14:textId="77777777" w:rsidR="0034197F" w:rsidRDefault="007565B6" w:rsidP="00A0416C">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r>
        <w:rPr>
          <w:rFonts w:ascii="Arial" w:hAnsi="Arial"/>
          <w:color w:val="010000"/>
          <w:sz w:val="20"/>
        </w:rPr>
        <w:t>Dividend recipients: existing shareholders of Hanoi Education Development and Investment JSC named in the list of securities owners finalized on the record date to exercise the rights to receive dividends provided by Vietnam Securities Depository (VSD).</w:t>
      </w:r>
    </w:p>
    <w:p w14:paraId="4147EF15" w14:textId="77777777" w:rsidR="0034197F" w:rsidRDefault="007565B6" w:rsidP="00A0416C">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r>
        <w:rPr>
          <w:rFonts w:ascii="Arial" w:hAnsi="Arial"/>
          <w:color w:val="010000"/>
          <w:sz w:val="20"/>
        </w:rPr>
        <w:t>Dividend payment rate: 14% (Shareholders owning 01 common share receive a dividend of VND 1,400)</w:t>
      </w:r>
    </w:p>
    <w:p w14:paraId="7FABC534" w14:textId="77777777" w:rsidR="0034197F" w:rsidRDefault="007565B6" w:rsidP="00A0416C">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r>
        <w:rPr>
          <w:rFonts w:ascii="Arial" w:hAnsi="Arial"/>
          <w:color w:val="010000"/>
          <w:sz w:val="20"/>
        </w:rPr>
        <w:t>Payment source: From the Company's undistributed profit after tax.</w:t>
      </w:r>
    </w:p>
    <w:p w14:paraId="7BB94E27" w14:textId="77777777" w:rsidR="0034197F" w:rsidRDefault="007565B6" w:rsidP="00A0416C">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r>
        <w:rPr>
          <w:rFonts w:ascii="Arial" w:hAnsi="Arial"/>
          <w:color w:val="010000"/>
          <w:sz w:val="20"/>
        </w:rPr>
        <w:t>The record date of the list of shareholders exercising their rights to receive dividends in cash: May 13, 2024</w:t>
      </w:r>
    </w:p>
    <w:p w14:paraId="0EF82E86" w14:textId="77777777" w:rsidR="0034197F" w:rsidRDefault="007565B6" w:rsidP="00A0416C">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r>
        <w:rPr>
          <w:rFonts w:ascii="Arial" w:hAnsi="Arial"/>
          <w:color w:val="010000"/>
          <w:sz w:val="20"/>
        </w:rPr>
        <w:t>Payment date: May 30, 2024</w:t>
      </w:r>
    </w:p>
    <w:p w14:paraId="621D8400" w14:textId="77777777" w:rsidR="0034197F" w:rsidRDefault="007565B6" w:rsidP="00A0416C">
      <w:pPr>
        <w:numPr>
          <w:ilvl w:val="0"/>
          <w:numId w:val="1"/>
        </w:numPr>
        <w:pBdr>
          <w:top w:val="nil"/>
          <w:left w:val="nil"/>
          <w:bottom w:val="nil"/>
          <w:right w:val="nil"/>
          <w:between w:val="nil"/>
        </w:pBdr>
        <w:tabs>
          <w:tab w:val="left" w:pos="432"/>
          <w:tab w:val="left" w:pos="698"/>
        </w:tabs>
        <w:spacing w:after="120" w:line="360" w:lineRule="auto"/>
        <w:jc w:val="both"/>
        <w:rPr>
          <w:rFonts w:ascii="Arial" w:eastAsia="Arial" w:hAnsi="Arial" w:cs="Arial"/>
          <w:color w:val="010000"/>
          <w:sz w:val="20"/>
          <w:szCs w:val="20"/>
        </w:rPr>
      </w:pPr>
      <w:r>
        <w:rPr>
          <w:rFonts w:ascii="Arial" w:hAnsi="Arial"/>
          <w:color w:val="010000"/>
          <w:sz w:val="20"/>
        </w:rPr>
        <w:lastRenderedPageBreak/>
        <w:t>Implementation venue:</w:t>
      </w:r>
    </w:p>
    <w:p w14:paraId="215DCC1E" w14:textId="77777777" w:rsidR="0034197F" w:rsidRDefault="007565B6" w:rsidP="00A041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For deposited securities: Owners implement the procedures to receive dividends at Depository Members where depository accounts are opened.</w:t>
      </w:r>
    </w:p>
    <w:p w14:paraId="266C65C1" w14:textId="77777777" w:rsidR="0034197F" w:rsidRDefault="007565B6" w:rsidP="00A0416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For </w:t>
      </w:r>
      <w:proofErr w:type="spellStart"/>
      <w:r>
        <w:rPr>
          <w:rFonts w:ascii="Arial" w:hAnsi="Arial"/>
          <w:color w:val="010000"/>
          <w:sz w:val="20"/>
        </w:rPr>
        <w:t>undeposited</w:t>
      </w:r>
      <w:proofErr w:type="spellEnd"/>
      <w:r>
        <w:rPr>
          <w:rFonts w:ascii="Arial" w:hAnsi="Arial"/>
          <w:color w:val="010000"/>
          <w:sz w:val="20"/>
        </w:rPr>
        <w:t xml:space="preserve"> securities: The owner carries out procedures to receive dividends at the Accounting - Finance Department of Hanoi Education Development and Investment JSC (4th Floor - HEID Office Building, Lane 12 Lang Ha, Ba </w:t>
      </w:r>
      <w:proofErr w:type="spellStart"/>
      <w:r>
        <w:rPr>
          <w:rFonts w:ascii="Arial" w:hAnsi="Arial"/>
          <w:color w:val="010000"/>
          <w:sz w:val="20"/>
        </w:rPr>
        <w:t>Dinh</w:t>
      </w:r>
      <w:proofErr w:type="spellEnd"/>
      <w:r>
        <w:rPr>
          <w:rFonts w:ascii="Arial" w:hAnsi="Arial"/>
          <w:color w:val="010000"/>
          <w:sz w:val="20"/>
        </w:rPr>
        <w:t xml:space="preserve"> District, Hanoi) on weekdays starting from May 30, 2024 and presents ID card or citizen identification card. </w:t>
      </w:r>
    </w:p>
    <w:p w14:paraId="27886233"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reporting the remuneration of the Board of Directors and the Supervisory Board in 2023 and the plan for 2024.</w:t>
      </w:r>
    </w:p>
    <w:p w14:paraId="362C0423"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contracts and transactions between Hanoi Education Development and Investment JSC (HEID) and Vietnam Education Publishing One Member Company Limited (NXBGDVN).</w:t>
      </w:r>
    </w:p>
    <w:p w14:paraId="51A782BD" w14:textId="77777777"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Proposal on selecting an independent audit company to audit the Financial Statements for 2024.</w:t>
      </w:r>
    </w:p>
    <w:p w14:paraId="224F6634" w14:textId="173577B9" w:rsidR="0034197F" w:rsidRDefault="007565B6"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This General Mandate was fully passed by the Annual General Meeting of Shareholders in 2024 of Hanoi Education Development and Investment JSC at the meeting. The Board of Directors and the Executive Board of the Company shall base on the contents of this General Mandate to implement.</w:t>
      </w:r>
    </w:p>
    <w:p w14:paraId="5B108EB0" w14:textId="77777777" w:rsidR="0034197F" w:rsidRDefault="0034197F" w:rsidP="00A041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34197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50C"/>
    <w:multiLevelType w:val="multilevel"/>
    <w:tmpl w:val="1D0470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10F438E"/>
    <w:multiLevelType w:val="multilevel"/>
    <w:tmpl w:val="C2F01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7F"/>
    <w:rsid w:val="0034197F"/>
    <w:rsid w:val="004E11D8"/>
    <w:rsid w:val="00645973"/>
    <w:rsid w:val="007565B6"/>
    <w:rsid w:val="00A0416C"/>
    <w:rsid w:val="00B7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FB49"/>
  <w15:docId w15:val="{A137EDF3-59D4-4BC7-A667-0BDA8E54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paragraph" w:customStyle="1" w:styleId="Khc0">
    <w:name w:val="Khác"/>
    <w:basedOn w:val="Normal"/>
    <w:link w:val="Khc"/>
    <w:pPr>
      <w:spacing w:after="80" w:line="264" w:lineRule="auto"/>
      <w:ind w:firstLine="40"/>
    </w:pPr>
    <w:rPr>
      <w:rFonts w:ascii="Times New Roman" w:eastAsia="Times New Roman" w:hAnsi="Times New Roman" w:cs="Times New Roman"/>
    </w:rPr>
  </w:style>
  <w:style w:type="paragraph" w:customStyle="1" w:styleId="Vnbnnidung0">
    <w:name w:val="Văn bản nội dung"/>
    <w:basedOn w:val="Normal"/>
    <w:link w:val="Vnbnnidung"/>
    <w:pPr>
      <w:spacing w:after="80" w:line="264" w:lineRule="auto"/>
      <w:ind w:firstLine="40"/>
    </w:pPr>
    <w:rPr>
      <w:rFonts w:ascii="Times New Roman" w:eastAsia="Times New Roman" w:hAnsi="Times New Roman" w:cs="Times New Roman"/>
    </w:rPr>
  </w:style>
  <w:style w:type="paragraph" w:customStyle="1" w:styleId="Tiu30">
    <w:name w:val="Tiêu đề #3"/>
    <w:basedOn w:val="Normal"/>
    <w:link w:val="Tiu3"/>
    <w:pPr>
      <w:spacing w:after="80" w:line="271" w:lineRule="auto"/>
      <w:ind w:firstLine="480"/>
      <w:outlineLvl w:val="2"/>
    </w:pPr>
    <w:rPr>
      <w:rFonts w:ascii="Times New Roman" w:eastAsia="Times New Roman" w:hAnsi="Times New Roman" w:cs="Times New Roman"/>
      <w:b/>
      <w:bCs/>
    </w:rPr>
  </w:style>
  <w:style w:type="paragraph" w:customStyle="1" w:styleId="Tiu10">
    <w:name w:val="Tiêu đề #1"/>
    <w:basedOn w:val="Normal"/>
    <w:link w:val="Tiu1"/>
    <w:pPr>
      <w:spacing w:after="120"/>
      <w:jc w:val="center"/>
      <w:outlineLvl w:val="0"/>
    </w:pPr>
    <w:rPr>
      <w:rFonts w:ascii="Times New Roman" w:eastAsia="Times New Roman" w:hAnsi="Times New Roman" w:cs="Times New Roman"/>
      <w:b/>
      <w:bCs/>
      <w:sz w:val="36"/>
      <w:szCs w:val="36"/>
    </w:rPr>
  </w:style>
  <w:style w:type="paragraph" w:customStyle="1" w:styleId="Tiu20">
    <w:name w:val="Tiêu đề #2"/>
    <w:basedOn w:val="Normal"/>
    <w:link w:val="Tiu2"/>
    <w:pPr>
      <w:spacing w:after="200"/>
      <w:jc w:val="center"/>
      <w:outlineLvl w:val="1"/>
    </w:pPr>
    <w:rPr>
      <w:rFonts w:ascii="Times New Roman" w:eastAsia="Times New Roman" w:hAnsi="Times New Roman" w:cs="Times New Roman"/>
      <w:b/>
      <w:bCs/>
      <w:sz w:val="32"/>
      <w:szCs w:val="32"/>
    </w:rPr>
  </w:style>
  <w:style w:type="paragraph" w:customStyle="1" w:styleId="Chthchbng0">
    <w:name w:val="Chú thích bảng"/>
    <w:basedOn w:val="Normal"/>
    <w:link w:val="Chthchbng"/>
    <w:pPr>
      <w:jc w:val="right"/>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GEc0La6nPqUGUGVfCHcQ4nB+vw==">CgMxLjA4AHIhMXJoY2RpMzNkTVBkcy1jM1BGSFdQbEFmUUJCaGdvZnJF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2024-04-22T04:50:00Z</dcterms:created>
  <dcterms:modified xsi:type="dcterms:W3CDTF">2024-04-24T03:43:00Z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876ab144bf9cb66746dd6646042d30ab764618240a70688e5cdeef76e1498a77</vt:lpwstr>
  </property>
</Properties>
</file>