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3D9B" w14:textId="77777777" w:rsidR="00217DE3" w:rsidRPr="0094231B" w:rsidRDefault="006819FF" w:rsidP="00C928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6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4231B">
        <w:rPr>
          <w:rFonts w:ascii="Arial" w:hAnsi="Arial" w:cs="Arial"/>
          <w:b/>
          <w:color w:val="010000"/>
          <w:sz w:val="20"/>
        </w:rPr>
        <w:t>GMX: Board Resolution</w:t>
      </w:r>
    </w:p>
    <w:p w14:paraId="56BF3D9C" w14:textId="77777777" w:rsidR="00217DE3" w:rsidRPr="0094231B" w:rsidRDefault="006819FF" w:rsidP="00C928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231B">
        <w:rPr>
          <w:rFonts w:ascii="Arial" w:hAnsi="Arial" w:cs="Arial"/>
          <w:color w:val="010000"/>
          <w:sz w:val="20"/>
        </w:rPr>
        <w:t>On April 19, 2024, My Xuan Brick Tile Pottery and Construction announced Resolution No. 04/NQ-HDQT/2024 as follows:</w:t>
      </w:r>
    </w:p>
    <w:p w14:paraId="56BF3D9D" w14:textId="3CD176CD" w:rsidR="00217DE3" w:rsidRPr="0094231B" w:rsidRDefault="006819FF" w:rsidP="00C928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231B">
        <w:rPr>
          <w:rFonts w:ascii="Arial" w:hAnsi="Arial" w:cs="Arial"/>
          <w:color w:val="010000"/>
          <w:sz w:val="20"/>
        </w:rPr>
        <w:t>Article 1: Approve the production and business results of Q</w:t>
      </w:r>
      <w:r w:rsidR="0094231B" w:rsidRPr="0094231B">
        <w:rPr>
          <w:rFonts w:ascii="Arial" w:hAnsi="Arial" w:cs="Arial"/>
          <w:color w:val="010000"/>
          <w:sz w:val="20"/>
        </w:rPr>
        <w:t>1</w:t>
      </w:r>
      <w:r w:rsidRPr="0094231B">
        <w:rPr>
          <w:rFonts w:ascii="Arial" w:hAnsi="Arial" w:cs="Arial"/>
          <w:color w:val="010000"/>
          <w:sz w:val="20"/>
        </w:rPr>
        <w:t xml:space="preserve">/2024 with the following targets: </w:t>
      </w:r>
    </w:p>
    <w:p w14:paraId="56BF3D9E" w14:textId="77777777" w:rsidR="00217DE3" w:rsidRPr="0094231B" w:rsidRDefault="006819FF" w:rsidP="00C92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4231B">
        <w:rPr>
          <w:rFonts w:ascii="Arial" w:hAnsi="Arial" w:cs="Arial"/>
          <w:color w:val="010000"/>
          <w:sz w:val="20"/>
        </w:rPr>
        <w:t>Revenue: VND 25,154,926,071</w:t>
      </w:r>
    </w:p>
    <w:p w14:paraId="56BF3D9F" w14:textId="77777777" w:rsidR="00217DE3" w:rsidRPr="0094231B" w:rsidRDefault="006819FF" w:rsidP="00C92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4231B">
        <w:rPr>
          <w:rFonts w:ascii="Arial" w:hAnsi="Arial" w:cs="Arial"/>
          <w:color w:val="010000"/>
          <w:sz w:val="20"/>
        </w:rPr>
        <w:t>Profit after tax: VND 1,500,690,699</w:t>
      </w:r>
      <w:bookmarkStart w:id="0" w:name="_GoBack"/>
      <w:bookmarkEnd w:id="0"/>
    </w:p>
    <w:p w14:paraId="56BF3DA0" w14:textId="77777777" w:rsidR="00217DE3" w:rsidRPr="0094231B" w:rsidRDefault="006819FF" w:rsidP="00C928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231B">
        <w:rPr>
          <w:rFonts w:ascii="Arial" w:hAnsi="Arial" w:cs="Arial"/>
          <w:color w:val="010000"/>
          <w:sz w:val="20"/>
        </w:rPr>
        <w:t>Article 2: The General Manager is assigned to organize the implementation of this Board Resolution as per the Company's Charter and the current provisions of law.</w:t>
      </w:r>
    </w:p>
    <w:sectPr w:rsidR="00217DE3" w:rsidRPr="0094231B" w:rsidSect="006819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BED"/>
    <w:multiLevelType w:val="multilevel"/>
    <w:tmpl w:val="C8EC8B0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E3"/>
    <w:rsid w:val="00217DE3"/>
    <w:rsid w:val="006819FF"/>
    <w:rsid w:val="0094231B"/>
    <w:rsid w:val="00C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F3D9B"/>
  <w15:docId w15:val="{76524B5D-4B15-4981-B738-DA37667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242A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242A"/>
      <w:sz w:val="12"/>
      <w:szCs w:val="12"/>
      <w:u w:val="none"/>
    </w:rPr>
  </w:style>
  <w:style w:type="paragraph" w:customStyle="1" w:styleId="Bodytext20">
    <w:name w:val="Body text (2)"/>
    <w:basedOn w:val="Normal"/>
    <w:link w:val="Bodytext2"/>
    <w:pPr>
      <w:ind w:left="2130" w:firstLine="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ind w:left="47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Normal"/>
    <w:link w:val="Bodytext6"/>
    <w:pPr>
      <w:ind w:left="1840" w:firstLine="20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E242A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E242A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zCfKAkdpv0cauLf8MHFT/CbUA==">CgMxLjA4AHIhMWpIa3ZXcHpQYVVXbzNjVDhHSkVNZkFUVTBkWXV3U0pC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2024-04-23T04:19:00Z</dcterms:created>
  <dcterms:modified xsi:type="dcterms:W3CDTF">2024-04-24T03:43:00Z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77a00fa924a055515ebcf644787a1903303d00e2aa746c910dfadb7bb81b874a</vt:lpwstr>
  </property>
</Properties>
</file>