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FEE1" w14:textId="1832DF9B" w:rsidR="00FF339A" w:rsidRPr="007353D8" w:rsidRDefault="009B0541" w:rsidP="007F1B35">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16"/>
        </w:rPr>
      </w:pPr>
      <w:r w:rsidRPr="007353D8">
        <w:rPr>
          <w:rFonts w:ascii="Arial" w:hAnsi="Arial" w:cs="Arial"/>
          <w:b/>
          <w:color w:val="010000"/>
          <w:sz w:val="20"/>
        </w:rPr>
        <w:t xml:space="preserve">NVB: Explanation of measures and roadmap to overcome </w:t>
      </w:r>
      <w:r w:rsidR="00E2131D" w:rsidRPr="007353D8">
        <w:rPr>
          <w:rFonts w:ascii="Arial" w:hAnsi="Arial" w:cs="Arial"/>
          <w:b/>
          <w:color w:val="010000"/>
          <w:sz w:val="20"/>
        </w:rPr>
        <w:t xml:space="preserve">the </w:t>
      </w:r>
      <w:r w:rsidRPr="007353D8">
        <w:rPr>
          <w:rFonts w:ascii="Arial" w:hAnsi="Arial" w:cs="Arial"/>
          <w:b/>
          <w:color w:val="010000"/>
          <w:sz w:val="20"/>
        </w:rPr>
        <w:t>situation of securities put under alert</w:t>
      </w:r>
    </w:p>
    <w:p w14:paraId="0852FEE2" w14:textId="77777777" w:rsidR="00FF339A" w:rsidRPr="007353D8" w:rsidRDefault="009B0541" w:rsidP="007F1B3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7353D8">
        <w:rPr>
          <w:rFonts w:ascii="Arial" w:hAnsi="Arial" w:cs="Arial"/>
          <w:color w:val="010000"/>
          <w:sz w:val="20"/>
        </w:rPr>
        <w:t>On April 19, 2024, National Citizen Commercial Joint</w:t>
      </w:r>
      <w:bookmarkStart w:id="0" w:name="_GoBack"/>
      <w:bookmarkEnd w:id="0"/>
      <w:r w:rsidRPr="007353D8">
        <w:rPr>
          <w:rFonts w:ascii="Arial" w:hAnsi="Arial" w:cs="Arial"/>
          <w:color w:val="010000"/>
          <w:sz w:val="20"/>
        </w:rPr>
        <w:t xml:space="preserve"> Stock Bank announced Official Dispatch No. 2686/2024/CV-NCB on measures and roadmap to overcome situation of securities put under alert as follows:</w:t>
      </w:r>
    </w:p>
    <w:p w14:paraId="0852FEE4" w14:textId="77777777" w:rsidR="00FF339A" w:rsidRPr="007353D8" w:rsidRDefault="009B0541" w:rsidP="007F1B35">
      <w:pPr>
        <w:numPr>
          <w:ilvl w:val="0"/>
          <w:numId w:val="5"/>
        </w:numPr>
        <w:pBdr>
          <w:top w:val="nil"/>
          <w:left w:val="nil"/>
          <w:bottom w:val="nil"/>
          <w:right w:val="nil"/>
          <w:between w:val="nil"/>
        </w:pBdr>
        <w:tabs>
          <w:tab w:val="left" w:pos="540"/>
          <w:tab w:val="left" w:pos="791"/>
        </w:tabs>
        <w:spacing w:after="120" w:line="360" w:lineRule="auto"/>
        <w:jc w:val="both"/>
        <w:rPr>
          <w:rFonts w:ascii="Arial" w:eastAsia="Arial" w:hAnsi="Arial" w:cs="Arial"/>
          <w:color w:val="010000"/>
          <w:sz w:val="20"/>
          <w:szCs w:val="20"/>
        </w:rPr>
      </w:pPr>
      <w:r w:rsidRPr="007353D8">
        <w:rPr>
          <w:rFonts w:ascii="Arial" w:hAnsi="Arial" w:cs="Arial"/>
          <w:color w:val="010000"/>
          <w:sz w:val="20"/>
        </w:rPr>
        <w:t>According to Decision No. 1058/QD-TTg dated July 19, 2017 of the Prime Minister on "approving the project to restructure the system of credit institutions associated with handling bad debts in the period of 2016-2020", NCB has developed a restructuring plan to submit to the State Bank and the Government.</w:t>
      </w:r>
    </w:p>
    <w:p w14:paraId="0852FEE5" w14:textId="77777777" w:rsidR="00FF339A" w:rsidRPr="007353D8" w:rsidRDefault="009B0541" w:rsidP="007F1B35">
      <w:pPr>
        <w:numPr>
          <w:ilvl w:val="0"/>
          <w:numId w:val="5"/>
        </w:numPr>
        <w:pBdr>
          <w:top w:val="nil"/>
          <w:left w:val="nil"/>
          <w:bottom w:val="nil"/>
          <w:right w:val="nil"/>
          <w:between w:val="nil"/>
        </w:pBdr>
        <w:tabs>
          <w:tab w:val="left" w:pos="540"/>
          <w:tab w:val="left" w:pos="791"/>
        </w:tabs>
        <w:spacing w:after="120" w:line="360" w:lineRule="auto"/>
        <w:jc w:val="both"/>
        <w:rPr>
          <w:rFonts w:ascii="Arial" w:eastAsia="Arial" w:hAnsi="Arial" w:cs="Arial"/>
          <w:color w:val="010000"/>
          <w:sz w:val="20"/>
          <w:szCs w:val="20"/>
        </w:rPr>
      </w:pPr>
      <w:r w:rsidRPr="007353D8">
        <w:rPr>
          <w:rFonts w:ascii="Arial" w:hAnsi="Arial" w:cs="Arial"/>
          <w:color w:val="010000"/>
          <w:sz w:val="20"/>
        </w:rPr>
        <w:t>On December 27, 2019, according to Decision 80/QD-NHNN, NCB was approved by the State Bank of Vietnam for a restructuring plan associated with handling bad debt in the period of 2019-2020 with a vision to 2028. Since that time, NCB has comprehensively implemented many measures with the goal of completing the plan developed in the Plan. Although there are still many internal difficulties as well as challenges from the economy, NCB has achieved certain achievements.</w:t>
      </w:r>
    </w:p>
    <w:p w14:paraId="0852FEE6" w14:textId="77777777" w:rsidR="00FF339A" w:rsidRPr="007353D8" w:rsidRDefault="009B0541" w:rsidP="007F1B35">
      <w:pPr>
        <w:numPr>
          <w:ilvl w:val="0"/>
          <w:numId w:val="5"/>
        </w:numPr>
        <w:pBdr>
          <w:top w:val="nil"/>
          <w:left w:val="nil"/>
          <w:bottom w:val="nil"/>
          <w:right w:val="nil"/>
          <w:between w:val="nil"/>
        </w:pBdr>
        <w:tabs>
          <w:tab w:val="left" w:pos="540"/>
          <w:tab w:val="left" w:pos="791"/>
        </w:tabs>
        <w:spacing w:after="120" w:line="360" w:lineRule="auto"/>
        <w:jc w:val="both"/>
        <w:rPr>
          <w:rFonts w:ascii="Arial" w:eastAsia="Arial" w:hAnsi="Arial" w:cs="Arial"/>
          <w:color w:val="010000"/>
          <w:sz w:val="20"/>
          <w:szCs w:val="20"/>
        </w:rPr>
      </w:pPr>
      <w:r w:rsidRPr="007353D8">
        <w:rPr>
          <w:rFonts w:ascii="Arial" w:hAnsi="Arial" w:cs="Arial"/>
          <w:color w:val="010000"/>
          <w:sz w:val="20"/>
        </w:rPr>
        <w:t>On June 8, 2022, the Prime Minister promulgated Decision No. 689/QD-TTg on "approving the project to restructure the system of credit institutions associated with handling bad debt in the period of 2021-2025". On that basis, in 2023, NCB cooperated with Ernst &amp; Young Viet Nam Limited, a consulting unit, to evaluate the financial status and update the restructuring plan and submit it to the State Bank of Vietnam. On February 7, 2024, the State Bank of Vietnam gave its opinion according to Official Dispatch No. 62/NHNN-TTGS. Currently, NCB is continuing to complete additional information to report to the State Bank of Vietnam.</w:t>
      </w:r>
    </w:p>
    <w:p w14:paraId="0852FEE7" w14:textId="77777777" w:rsidR="00FF339A" w:rsidRPr="007353D8" w:rsidRDefault="009B0541" w:rsidP="007F1B35">
      <w:pPr>
        <w:numPr>
          <w:ilvl w:val="0"/>
          <w:numId w:val="6"/>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On April 13, 2024, NCB successfully organized the General Meeting of Shareholders to approve the business results in 2023 with many positive results such as:</w:t>
      </w:r>
    </w:p>
    <w:p w14:paraId="0852FEE8"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Total assets reached 102% of plan;</w:t>
      </w:r>
    </w:p>
    <w:p w14:paraId="0852FEE9"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Mobilization reached 103% of the plan;</w:t>
      </w:r>
    </w:p>
    <w:p w14:paraId="0852FEEA"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Outstanding balance reached 96% of the plan (mainly because the credit growth target of the State Bank of Vietnam granted to NCB in 2023 is not as much as the target assigned by the General Meeting of Shareholders);</w:t>
      </w:r>
    </w:p>
    <w:p w14:paraId="0852FEEB"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Customer scale reached 100% of plan.</w:t>
      </w:r>
    </w:p>
    <w:p w14:paraId="0852FEEC" w14:textId="77777777" w:rsidR="00FF339A" w:rsidRPr="007353D8" w:rsidRDefault="009B0541" w:rsidP="007F1B3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7353D8">
        <w:rPr>
          <w:rFonts w:ascii="Arial" w:hAnsi="Arial" w:cs="Arial"/>
          <w:color w:val="010000"/>
          <w:sz w:val="20"/>
        </w:rPr>
        <w:t xml:space="preserve">At the same time, the General Meeting of Shareholders also approved the business plan in 2024, accordingly, NCB aims to reach: </w:t>
      </w:r>
    </w:p>
    <w:p w14:paraId="0852FEED"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VND 105,892 billion in total assets, an increase of 10% compared to that in 2023;</w:t>
      </w:r>
    </w:p>
    <w:p w14:paraId="0852FEEE"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VND 64,344 billion in expected loan outstanding balance, an increase of 16% compared to that in 2023</w:t>
      </w:r>
    </w:p>
    <w:p w14:paraId="0852FEEF"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VND 86,050 billion in customer mobilization, an increase of 8% compared to that at the end of 2023</w:t>
      </w:r>
    </w:p>
    <w:p w14:paraId="0852FEF0" w14:textId="77777777" w:rsidR="00FF339A" w:rsidRPr="007353D8" w:rsidRDefault="009B0541" w:rsidP="007F1B35">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lastRenderedPageBreak/>
        <w:t>An increase of 15% in customer scale by the end of 2024</w:t>
      </w:r>
    </w:p>
    <w:p w14:paraId="0852FEF1" w14:textId="77777777" w:rsidR="00FF339A" w:rsidRPr="007353D8" w:rsidRDefault="009B0541" w:rsidP="007F1B35">
      <w:pPr>
        <w:numPr>
          <w:ilvl w:val="0"/>
          <w:numId w:val="2"/>
        </w:numPr>
        <w:pBdr>
          <w:top w:val="nil"/>
          <w:left w:val="nil"/>
          <w:bottom w:val="nil"/>
          <w:right w:val="nil"/>
          <w:between w:val="nil"/>
        </w:pBdr>
        <w:tabs>
          <w:tab w:val="left" w:pos="540"/>
          <w:tab w:val="left" w:pos="92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 xml:space="preserve">With the goal of focusing on stable development, gradually restructuring the Bank according to the roadmap submitted to the State Bank of Vietnam for approval and improving service quality, NCB has been implementing strong and synchronous plans and measures in the coming time to improve business results in 2024, creating a stepping stone for the development journey in the following years: </w:t>
      </w:r>
    </w:p>
    <w:p w14:paraId="0852FEF2" w14:textId="77777777" w:rsidR="00FF339A" w:rsidRPr="007353D8" w:rsidRDefault="009B0541" w:rsidP="007F1B35">
      <w:pPr>
        <w:numPr>
          <w:ilvl w:val="0"/>
          <w:numId w:val="3"/>
        </w:numPr>
        <w:tabs>
          <w:tab w:val="left" w:pos="540"/>
        </w:tabs>
        <w:spacing w:after="120" w:line="360" w:lineRule="auto"/>
        <w:ind w:left="0" w:firstLine="0"/>
        <w:jc w:val="both"/>
        <w:rPr>
          <w:rFonts w:ascii="Arial" w:hAnsi="Arial" w:cs="Arial"/>
          <w:color w:val="010000"/>
          <w:sz w:val="20"/>
          <w:szCs w:val="20"/>
        </w:rPr>
      </w:pPr>
      <w:r w:rsidRPr="007353D8">
        <w:rPr>
          <w:rFonts w:ascii="Arial" w:hAnsi="Arial" w:cs="Arial"/>
          <w:color w:val="010000"/>
          <w:sz w:val="20"/>
        </w:rPr>
        <w:t xml:space="preserve">Focus on credit development in segments where NCB has advantages with a customer loan growth plan in 2024 of 16.27% compared to that at the end of 2023; </w:t>
      </w:r>
    </w:p>
    <w:p w14:paraId="0852FEF3" w14:textId="77777777" w:rsidR="00FF339A" w:rsidRPr="007353D8" w:rsidRDefault="009B0541" w:rsidP="007F1B35">
      <w:pPr>
        <w:numPr>
          <w:ilvl w:val="0"/>
          <w:numId w:val="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Implement measures to handle bad debt along with measures to control and prevent newly arising bad debt to improve credit quality and reduce bad debt rate. Stick to the roadmap from the restructuring plan associated with handling bad debt in the period of 2023-2025 and the orientation in 2030 approved by competent authorities;</w:t>
      </w:r>
    </w:p>
    <w:p w14:paraId="0852FEF4" w14:textId="77777777" w:rsidR="00FF339A" w:rsidRPr="007353D8" w:rsidRDefault="009B0541" w:rsidP="007F1B35">
      <w:pPr>
        <w:numPr>
          <w:ilvl w:val="0"/>
          <w:numId w:val="3"/>
        </w:numPr>
        <w:pBdr>
          <w:top w:val="nil"/>
          <w:left w:val="nil"/>
          <w:bottom w:val="nil"/>
          <w:right w:val="nil"/>
          <w:between w:val="nil"/>
        </w:pBdr>
        <w:tabs>
          <w:tab w:val="left" w:pos="540"/>
          <w:tab w:val="left" w:pos="3854"/>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Follow the market, optimize appropriate and cheap capital sources. Customer mobilization and CASA growth targets are 7.5% and 24% respectively compared to that at the end of 2023;</w:t>
      </w:r>
    </w:p>
    <w:p w14:paraId="0852FEF5" w14:textId="77777777" w:rsidR="00FF339A" w:rsidRPr="007353D8" w:rsidRDefault="009B0541" w:rsidP="007F1B35">
      <w:pPr>
        <w:numPr>
          <w:ilvl w:val="0"/>
          <w:numId w:val="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Launch digitalization projects to enhance user experience and improve service quality with a strategic vision project for the next 5 years and beyond, the next 10 years;</w:t>
      </w:r>
    </w:p>
    <w:p w14:paraId="0852FEF6" w14:textId="77777777" w:rsidR="00FF339A" w:rsidRPr="007353D8" w:rsidRDefault="009B0541" w:rsidP="007F1B35">
      <w:pPr>
        <w:numPr>
          <w:ilvl w:val="0"/>
          <w:numId w:val="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Continue to focus on non-credit products such as foreign currency trading, increase revenue from international payment activities, guarantees, LC and diversify insurance products to increase fee sources for the Bank, contributing to helping NCB diversify its income source structure;</w:t>
      </w:r>
    </w:p>
    <w:p w14:paraId="0852FEF7" w14:textId="77777777" w:rsidR="00FF339A" w:rsidRPr="007353D8" w:rsidRDefault="009B0541" w:rsidP="007F1B35">
      <w:pPr>
        <w:numPr>
          <w:ilvl w:val="0"/>
          <w:numId w:val="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Optimize the network, streamline the organizational structure, review and optimize ineffective units, and improve financial indicators;</w:t>
      </w:r>
    </w:p>
    <w:p w14:paraId="0852FEF8" w14:textId="77777777" w:rsidR="00FF339A" w:rsidRPr="007353D8" w:rsidRDefault="009B0541" w:rsidP="007F1B35">
      <w:pPr>
        <w:numPr>
          <w:ilvl w:val="0"/>
          <w:numId w:val="4"/>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353D8">
        <w:rPr>
          <w:rFonts w:ascii="Arial" w:hAnsi="Arial" w:cs="Arial"/>
          <w:color w:val="010000"/>
          <w:sz w:val="20"/>
        </w:rPr>
        <w:t>In addition, to enhance additional financial capacity for the entire Bank's business activities; NCB continues to implement the capital increase roadmap as approved by the State Bank of Vietnam on December 29, 2023. Accordingly, NCB is allowed to implement the private placement to increase its charter capital by a maximum of VND 6,200 billion. The increase in charter capital is a positive signal, creating an important boost for NCB's comprehensive and strong transformation process, towards the Bank's strategic goals, bringing better business results in 2024 and following years.</w:t>
      </w:r>
    </w:p>
    <w:p w14:paraId="0852FEF9" w14:textId="77777777" w:rsidR="00FF339A" w:rsidRPr="007353D8" w:rsidRDefault="009B0541" w:rsidP="007F1B3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7353D8">
        <w:rPr>
          <w:rFonts w:ascii="Arial" w:hAnsi="Arial" w:cs="Arial"/>
          <w:color w:val="010000"/>
          <w:sz w:val="20"/>
        </w:rPr>
        <w:t>With the specific action plans mentioned above, NCB believes that the Bank's business results in 2024 will improve, creating a stepping stone for NCB's sustainable development journey in the following years.</w:t>
      </w:r>
    </w:p>
    <w:sectPr w:rsidR="00FF339A" w:rsidRPr="007353D8" w:rsidSect="009B05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2B8"/>
    <w:multiLevelType w:val="multilevel"/>
    <w:tmpl w:val="2D44EC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F13798"/>
    <w:multiLevelType w:val="multilevel"/>
    <w:tmpl w:val="774AEAF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0E4BF5"/>
    <w:multiLevelType w:val="multilevel"/>
    <w:tmpl w:val="56D47D6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B5D00"/>
    <w:multiLevelType w:val="multilevel"/>
    <w:tmpl w:val="9FAC2B1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3B16E8"/>
    <w:multiLevelType w:val="multilevel"/>
    <w:tmpl w:val="102A84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7137C0"/>
    <w:multiLevelType w:val="multilevel"/>
    <w:tmpl w:val="C9D2F32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9A"/>
    <w:rsid w:val="007353D8"/>
    <w:rsid w:val="007F1B35"/>
    <w:rsid w:val="009B0541"/>
    <w:rsid w:val="00BB1095"/>
    <w:rsid w:val="00E2131D"/>
    <w:rsid w:val="00FF339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2FEE1"/>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17171D"/>
      <w:sz w:val="32"/>
      <w:szCs w:val="32"/>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17171D"/>
      <w:sz w:val="8"/>
      <w:szCs w:val="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Pr>
      <w:rFonts w:ascii="Times New Roman" w:eastAsia="Times New Roman" w:hAnsi="Times New Roman" w:cs="Times New Roman"/>
      <w:sz w:val="8"/>
      <w:szCs w:val="8"/>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Arial" w:eastAsia="Arial" w:hAnsi="Arial" w:cs="Arial"/>
      <w:color w:val="17171D"/>
      <w:sz w:val="32"/>
      <w:szCs w:val="32"/>
    </w:rPr>
  </w:style>
  <w:style w:type="paragraph" w:customStyle="1" w:styleId="Bodytext30">
    <w:name w:val="Body text (3)"/>
    <w:basedOn w:val="Normal"/>
    <w:link w:val="Bodytext3"/>
    <w:pPr>
      <w:jc w:val="center"/>
    </w:pPr>
    <w:rPr>
      <w:rFonts w:ascii="Arial" w:eastAsia="Arial" w:hAnsi="Arial" w:cs="Arial"/>
      <w:b/>
      <w:bCs/>
      <w:color w:val="17171D"/>
      <w:sz w:val="8"/>
      <w:szCs w:val="8"/>
    </w:rPr>
  </w:style>
  <w:style w:type="paragraph" w:customStyle="1" w:styleId="Tableofcontents0">
    <w:name w:val="Table of contents"/>
    <w:basedOn w:val="Normal"/>
    <w:link w:val="Tableofcontents"/>
    <w:pPr>
      <w:spacing w:line="266" w:lineRule="auto"/>
      <w:ind w:firstLine="3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pXG3KBNKX9qNMKdbUVtpOLHoXQ==">CgMxLjA4AHIhMXJtS3NEYmJnaTdRMldDT3dkQl9WM2c5NHFhdkpwUzZm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2024-04-23T04:24:00Z</dcterms:created>
  <dcterms:modified xsi:type="dcterms:W3CDTF">2024-04-24T04:55:00Z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32b75a53873965f3a7d2a3b915ca927b14bac92d7e153752e1c333e52310eab4</vt:lpwstr>
  </property>
</Properties>
</file>