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D77B2" w14:textId="77777777" w:rsidR="00BC355E" w:rsidRPr="00ED67CC" w:rsidRDefault="00D341AC" w:rsidP="00704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D67CC">
        <w:rPr>
          <w:rFonts w:ascii="Arial" w:hAnsi="Arial" w:cs="Arial"/>
          <w:b/>
          <w:color w:val="010000"/>
          <w:sz w:val="20"/>
        </w:rPr>
        <w:t>PEG: Annual General Mandate 2024</w:t>
      </w:r>
    </w:p>
    <w:p w14:paraId="3535A435" w14:textId="5F50996F" w:rsidR="00BC355E" w:rsidRPr="00ED67CC" w:rsidRDefault="00D341AC" w:rsidP="00704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 xml:space="preserve">On April 19, 2024, Petec Trading and Investment Corporation announced </w:t>
      </w:r>
      <w:r w:rsidR="008343FB" w:rsidRPr="00ED67CC">
        <w:rPr>
          <w:rFonts w:ascii="Arial" w:hAnsi="Arial" w:cs="Arial"/>
          <w:color w:val="010000"/>
          <w:sz w:val="20"/>
        </w:rPr>
        <w:t>General Mandate</w:t>
      </w:r>
      <w:r w:rsidRPr="00ED67CC">
        <w:rPr>
          <w:rFonts w:ascii="Arial" w:hAnsi="Arial" w:cs="Arial"/>
          <w:color w:val="010000"/>
          <w:sz w:val="20"/>
        </w:rPr>
        <w:t xml:space="preserve"> No. 001391/NQ-PTC as follows: </w:t>
      </w:r>
    </w:p>
    <w:p w14:paraId="65E95619" w14:textId="0EBC8EDB" w:rsidR="00BC355E" w:rsidRPr="00ED67CC" w:rsidRDefault="00D341AC" w:rsidP="00704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 xml:space="preserve">‎‎Article 1. The Annual General Meeting of Shareholders </w:t>
      </w:r>
      <w:r w:rsidR="008343FB" w:rsidRPr="00ED67CC">
        <w:rPr>
          <w:rFonts w:ascii="Arial" w:hAnsi="Arial" w:cs="Arial"/>
          <w:color w:val="010000"/>
          <w:sz w:val="20"/>
        </w:rPr>
        <w:t xml:space="preserve">2024 </w:t>
      </w:r>
      <w:r w:rsidRPr="00ED67CC">
        <w:rPr>
          <w:rFonts w:ascii="Arial" w:hAnsi="Arial" w:cs="Arial"/>
          <w:color w:val="010000"/>
          <w:sz w:val="20"/>
        </w:rPr>
        <w:t xml:space="preserve">of </w:t>
      </w:r>
      <w:r w:rsidR="008343FB" w:rsidRPr="00ED67CC">
        <w:rPr>
          <w:rFonts w:ascii="Arial" w:hAnsi="Arial" w:cs="Arial"/>
          <w:color w:val="010000"/>
          <w:sz w:val="20"/>
        </w:rPr>
        <w:t>Petec Trading and Investment Corporation</w:t>
      </w:r>
      <w:r w:rsidRPr="00ED67CC">
        <w:rPr>
          <w:rFonts w:ascii="Arial" w:hAnsi="Arial" w:cs="Arial"/>
          <w:color w:val="010000"/>
          <w:sz w:val="20"/>
        </w:rPr>
        <w:t xml:space="preserve"> on April 19, 2024, has voted to approve the following contents:</w:t>
      </w:r>
    </w:p>
    <w:p w14:paraId="4398FCE9" w14:textId="77777777" w:rsidR="00BC355E" w:rsidRPr="00ED67CC" w:rsidRDefault="00D341AC" w:rsidP="00704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Approve the Report on production and business results in 2023 and the Production and business plan in 2024 with the following main targets:</w:t>
      </w:r>
    </w:p>
    <w:p w14:paraId="5F2B4BD6" w14:textId="77777777" w:rsidR="00BC355E" w:rsidRPr="00ED67CC" w:rsidRDefault="00D341AC" w:rsidP="00704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657"/>
        <w:gridCol w:w="2455"/>
        <w:gridCol w:w="1003"/>
        <w:gridCol w:w="994"/>
        <w:gridCol w:w="994"/>
        <w:gridCol w:w="1006"/>
        <w:gridCol w:w="954"/>
        <w:gridCol w:w="954"/>
      </w:tblGrid>
      <w:tr w:rsidR="00BC355E" w:rsidRPr="00ED67CC" w14:paraId="72882A6B" w14:textId="77777777" w:rsidTr="00923C88"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93EBD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A50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F417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EBF0F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4539A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81AC7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Compare Results (%)</w:t>
            </w:r>
          </w:p>
        </w:tc>
      </w:tr>
      <w:tr w:rsidR="00BC355E" w:rsidRPr="00ED67CC" w14:paraId="3ABF8C1F" w14:textId="77777777" w:rsidTr="00923C88"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03AE3" w14:textId="77777777" w:rsidR="00BC355E" w:rsidRPr="00ED67CC" w:rsidRDefault="00BC355E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00596" w14:textId="77777777" w:rsidR="00BC355E" w:rsidRPr="00ED67CC" w:rsidRDefault="00BC355E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30D5A" w14:textId="77777777" w:rsidR="00BC355E" w:rsidRPr="00ED67CC" w:rsidRDefault="00BC355E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428F0" w14:textId="77777777" w:rsidR="00BC355E" w:rsidRPr="00ED67CC" w:rsidRDefault="00BC355E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34099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21D6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C604" w14:textId="77843F6D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Compared to 2022 </w:t>
            </w:r>
            <w:r w:rsidR="008343FB" w:rsidRPr="00ED67CC">
              <w:rPr>
                <w:rFonts w:ascii="Arial" w:hAnsi="Arial" w:cs="Arial"/>
                <w:color w:val="010000"/>
                <w:sz w:val="20"/>
              </w:rPr>
              <w:t>Result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24EA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Compared to 2023 Plan</w:t>
            </w:r>
          </w:p>
        </w:tc>
      </w:tr>
      <w:tr w:rsidR="00BC355E" w:rsidRPr="00ED67CC" w14:paraId="22FDD112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F50FC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2B794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6F0C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607BC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3921C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1BB5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8B8EF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B7BEB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594F7651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A6C3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566AD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Total output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0AA6E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6FE8C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359,981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030B9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329,012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A30AD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415,086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A464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115%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6B4B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126%</w:t>
            </w:r>
          </w:p>
        </w:tc>
      </w:tr>
      <w:tr w:rsidR="00BC355E" w:rsidRPr="00ED67CC" w14:paraId="6A19D7D1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AF736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AC124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Petrol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0327C" w14:textId="77777777" w:rsidR="00BC355E" w:rsidRPr="00ED67CC" w:rsidRDefault="00D341AC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D7F9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359,973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38559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329,000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F9B2C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415,071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0B9C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775%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3FC7A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126%</w:t>
            </w:r>
          </w:p>
        </w:tc>
      </w:tr>
      <w:tr w:rsidR="00BC355E" w:rsidRPr="00ED67CC" w14:paraId="677A3521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964BC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A6B2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PVOil Lube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D452F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Liter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3CE47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7,678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D4817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39371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14,834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C1DE9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193%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42E8A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124%</w:t>
            </w:r>
          </w:p>
        </w:tc>
      </w:tr>
      <w:tr w:rsidR="00BC355E" w:rsidRPr="00ED67CC" w14:paraId="57C2EEE6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51A6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23B4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9018A" w14:textId="340C2831" w:rsidR="00BC355E" w:rsidRPr="00ED67CC" w:rsidRDefault="00923C88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r w:rsidR="00D341AC" w:rsidRPr="00ED67CC">
              <w:rPr>
                <w:rFonts w:ascii="Arial" w:hAnsi="Arial" w:cs="Arial"/>
                <w:color w:val="010000"/>
                <w:sz w:val="20"/>
              </w:rPr>
              <w:t xml:space="preserve">VND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CD071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7,699.03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5599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5,022.48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9D35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7,388.26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D64E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96%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4EA0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147%</w:t>
            </w:r>
          </w:p>
        </w:tc>
      </w:tr>
      <w:tr w:rsidR="00923C88" w:rsidRPr="00ED67CC" w14:paraId="09AC79E4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3DE05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9584E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D9728" w14:textId="70B70146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CA5CE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1CC98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2A741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73FC2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5B279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923C88" w:rsidRPr="00ED67CC" w14:paraId="397E5AB2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CE091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FF21E" w14:textId="5AC6DCE1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Expense allocation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>for a</w:t>
            </w:r>
            <w:r w:rsidRPr="00ED67CC">
              <w:rPr>
                <w:rFonts w:ascii="Arial" w:hAnsi="Arial" w:cs="Arial"/>
                <w:color w:val="010000"/>
                <w:sz w:val="20"/>
              </w:rPr>
              <w:t xml:space="preserve">dvantages of the geographical location of land plots according to Decree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ED67CC">
              <w:rPr>
                <w:rFonts w:ascii="Arial" w:hAnsi="Arial" w:cs="Arial"/>
                <w:color w:val="010000"/>
                <w:sz w:val="20"/>
              </w:rPr>
              <w:t>140/2020/ND-CP on November 30, 2020, of the Government.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841C4" w14:textId="18970956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FC004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61BB0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11EA8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1E634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92432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3C88" w:rsidRPr="00ED67CC" w14:paraId="536F2759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A31E9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989EA" w14:textId="20AF1698" w:rsidR="00923C88" w:rsidRPr="00ED67CC" w:rsidRDefault="009D7A94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Profit </w:t>
            </w:r>
            <w:r w:rsidR="00923C88" w:rsidRPr="00ED67CC">
              <w:rPr>
                <w:rFonts w:ascii="Arial" w:hAnsi="Arial" w:cs="Arial"/>
                <w:color w:val="010000"/>
                <w:sz w:val="20"/>
              </w:rPr>
              <w:t>after revision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CC0C8" w14:textId="6DB85A3C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C8C48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E4E8B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800AA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4F41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32DC1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3C88" w:rsidRPr="00ED67CC" w14:paraId="256FE1D8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550D4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ACA82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Consolidated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78982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3277C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E6715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582D2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8853C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C2B8F" w14:textId="77777777" w:rsidR="00923C88" w:rsidRPr="00ED67CC" w:rsidRDefault="00923C88" w:rsidP="00923C8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3C88" w:rsidRPr="00ED67CC" w14:paraId="244D3DEF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7ED97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296B2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Total revenue (Consolidated)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BE029" w14:textId="09F0F283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37942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7,880.4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FB630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5,211.30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D27C7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7,616.93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DD0D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97%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C1ACE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146%</w:t>
            </w:r>
          </w:p>
        </w:tc>
      </w:tr>
      <w:tr w:rsidR="00923C88" w:rsidRPr="00ED67CC" w14:paraId="14FA4053" w14:textId="77777777" w:rsidTr="00923C88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DBF48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0159B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Total profit before tax (Consolidated)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9BD16" w14:textId="3917D9BC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7F6C4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2AE1F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EAAD7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0.53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CA9D7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25%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C4546" w14:textId="77777777" w:rsidR="00923C88" w:rsidRPr="00ED67CC" w:rsidRDefault="00923C88" w:rsidP="0092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</w:tr>
    </w:tbl>
    <w:p w14:paraId="5F8279B1" w14:textId="77777777" w:rsidR="00BC355E" w:rsidRPr="00ED67CC" w:rsidRDefault="00D341AC" w:rsidP="00704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4068"/>
        <w:gridCol w:w="1051"/>
        <w:gridCol w:w="1616"/>
        <w:gridCol w:w="1578"/>
      </w:tblGrid>
      <w:tr w:rsidR="00BC355E" w:rsidRPr="00ED67CC" w14:paraId="081C7609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3731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No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2741F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DA96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86354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76CFA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C355E" w:rsidRPr="00ED67CC" w14:paraId="12C539E3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8E81F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DD79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Output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465AA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D1263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71B75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138DEE19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A7FF9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C4A6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Petroleum business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E1352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837CF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440,000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1E654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480AED9D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3F6CB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FAF0D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Wholesale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B4F61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104EC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398,700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68C8D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3654F74E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A8B8E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8B986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Gas Stations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23BF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28CD5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41,300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179A7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179C9415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02A93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E2EEE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PVOIL Easy output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B3F1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0655E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3,800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DA556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25F2431B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9BA2D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8344D" w14:textId="3C622C00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PVOIL Lube business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B53CD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Liter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AB38B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14,500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6ADB2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355E" w:rsidRPr="00ED67CC" w14:paraId="0063B14F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53A8C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4019A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Financial targets: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E2445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2552B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A0DE3" w14:textId="77777777" w:rsidR="00BC355E" w:rsidRPr="00ED67CC" w:rsidRDefault="00BC355E" w:rsidP="00704EC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008C045B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D049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436EC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Revenue: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BB8A4" w14:textId="62AC2D5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75004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6,852.8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5A948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4C8716A2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B854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F3ADF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Petroleum business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23F83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B5327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6,724.7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1D723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5DB305B2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C122D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23392" w14:textId="576D9B7E" w:rsidR="009D7A94" w:rsidRPr="00ED67CC" w:rsidRDefault="009500CE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Other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>business and services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13F2F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1AB12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128.1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C7F78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5B2B566C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E551B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3C5AC" w14:textId="2FBE97AE" w:rsidR="009D7A94" w:rsidRPr="00ED67CC" w:rsidRDefault="009500CE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Gross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341A9" w14:textId="4F4F0E05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AB2A1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298.0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3BA35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01F3D1D9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5EE7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88C74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Petroleum business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0EB06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51774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170.7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818D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0C680A60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61A39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8AC84" w14:textId="187543EF" w:rsidR="009D7A94" w:rsidRPr="00ED67CC" w:rsidRDefault="009500CE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Other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>business and services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F0A15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29A6D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127.2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B166C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602B300C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2AFE3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254FA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2FFE5" w14:textId="6CED18C9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Billion VND 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FBE71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15.0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9F57A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42253205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F1752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E9242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Petroleum business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DD65B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51582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8.8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6FBC2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431577C5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CBD10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DE116" w14:textId="75F246F3" w:rsidR="009D7A94" w:rsidRPr="00ED67CC" w:rsidRDefault="009500CE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Other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>business and services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0CD67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4BC0A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6.2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E9A62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4BF41EB6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09610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9A0F5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Investment capital plan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092DF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F53E0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16A33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2E361063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B1371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5C266" w14:textId="00EA2426" w:rsidR="009D7A94" w:rsidRPr="00ED67CC" w:rsidRDefault="009500CE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Capital </w:t>
            </w:r>
            <w:r w:rsidR="009D7A94" w:rsidRPr="00ED67CC">
              <w:rPr>
                <w:rFonts w:ascii="Arial" w:hAnsi="Arial" w:cs="Arial"/>
                <w:color w:val="010000"/>
                <w:sz w:val="20"/>
              </w:rPr>
              <w:t>construction investment &amp; purchasing equipment 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F8FB4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VND Billion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E5A0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261.9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00EB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52D8F53A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F77B6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0617A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84F94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VND Billion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19478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5.3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97FD0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57E726F6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4816B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5E46D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Loan capital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8FB6B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VND Billion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21F33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120.8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3AD95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124D3E3C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E92B1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E7CA5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Other capital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0B8CE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VND Billion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EA223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135.8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ED062" w14:textId="77777777" w:rsidR="009D7A94" w:rsidRPr="00ED67CC" w:rsidRDefault="009D7A94" w:rsidP="009D7A9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7A94" w:rsidRPr="00ED67CC" w14:paraId="7F5465EE" w14:textId="77777777" w:rsidTr="00704ECB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93660" w14:textId="77777777" w:rsidR="009D7A94" w:rsidRPr="00ED67CC" w:rsidRDefault="009D7A94" w:rsidP="009D7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7CBA7" w14:textId="3E06891A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Number of newly developed </w:t>
            </w:r>
            <w:r w:rsidR="009500CE" w:rsidRPr="00ED67CC">
              <w:rPr>
                <w:rFonts w:ascii="Arial" w:hAnsi="Arial" w:cs="Arial"/>
                <w:color w:val="010000"/>
                <w:sz w:val="20"/>
              </w:rPr>
              <w:t xml:space="preserve">petrol </w:t>
            </w:r>
            <w:r w:rsidRPr="00ED67CC">
              <w:rPr>
                <w:rFonts w:ascii="Arial" w:hAnsi="Arial" w:cs="Arial"/>
                <w:color w:val="010000"/>
                <w:sz w:val="20"/>
              </w:rPr>
              <w:t>stations during the year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CAA25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Stations</w:t>
            </w:r>
          </w:p>
        </w:tc>
        <w:tc>
          <w:tcPr>
            <w:tcW w:w="177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83D89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 xml:space="preserve">Minimum 03 petrol stations (in many forms: Long-term rental, self-investment, investment cooperation, introducing opportunities to </w:t>
            </w:r>
          </w:p>
          <w:p w14:paraId="529D806B" w14:textId="77777777" w:rsidR="009D7A94" w:rsidRPr="00ED67CC" w:rsidRDefault="009D7A94" w:rsidP="009D7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 successful investment corporation</w:t>
            </w:r>
          </w:p>
        </w:tc>
      </w:tr>
    </w:tbl>
    <w:p w14:paraId="63D74C3A" w14:textId="2BC2F2E6" w:rsidR="00BC355E" w:rsidRPr="00ED67CC" w:rsidRDefault="00D341AC" w:rsidP="00704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lastRenderedPageBreak/>
        <w:t xml:space="preserve">Notes: The target total profit before tax does not include the expense of allocating the value of geographical location advantages of land lots according to Point b, Section 24, Article 1 of Decree </w:t>
      </w:r>
      <w:r w:rsidR="009500CE" w:rsidRPr="00ED67CC">
        <w:rPr>
          <w:rFonts w:ascii="Arial" w:hAnsi="Arial" w:cs="Arial"/>
          <w:color w:val="010000"/>
          <w:sz w:val="20"/>
        </w:rPr>
        <w:t xml:space="preserve">No. </w:t>
      </w:r>
      <w:r w:rsidRPr="00ED67CC">
        <w:rPr>
          <w:rFonts w:ascii="Arial" w:hAnsi="Arial" w:cs="Arial"/>
          <w:color w:val="010000"/>
          <w:sz w:val="20"/>
        </w:rPr>
        <w:t>140/2020/ND-CP on November 30, 2020 of the Government.</w:t>
      </w:r>
    </w:p>
    <w:p w14:paraId="55943525" w14:textId="77777777" w:rsidR="00BC355E" w:rsidRPr="00ED67CC" w:rsidRDefault="00D341AC" w:rsidP="00704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Approve the Report of the Board of Directors at the Annual General Meeting of Shareholders 2024</w:t>
      </w:r>
    </w:p>
    <w:p w14:paraId="31C7B1BF" w14:textId="77777777" w:rsidR="00BC355E" w:rsidRPr="00ED67CC" w:rsidRDefault="00D341AC" w:rsidP="00704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Approve Report of the Supervisory Board at the Annual General Meeting of Shareholders 2024.</w:t>
      </w:r>
    </w:p>
    <w:p w14:paraId="54FAB60A" w14:textId="77777777" w:rsidR="00BC355E" w:rsidRPr="00ED67CC" w:rsidRDefault="00D341AC" w:rsidP="00704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 xml:space="preserve">Approve the Separate and Consolidated Financial Statements 2023 audited by Anviet Auditing Company Limited </w:t>
      </w:r>
    </w:p>
    <w:p w14:paraId="31268CAE" w14:textId="77777777" w:rsidR="00BC355E" w:rsidRPr="00ED67CC" w:rsidRDefault="00D341AC" w:rsidP="00704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Approve the plan on profit distribution in 2023 with the following content: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"/>
        <w:gridCol w:w="5439"/>
        <w:gridCol w:w="2894"/>
      </w:tblGrid>
      <w:tr w:rsidR="00BC355E" w:rsidRPr="00ED67CC" w14:paraId="123B9CE9" w14:textId="77777777" w:rsidTr="00704ECB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FAA0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ABEF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BC259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BC355E" w:rsidRPr="00ED67CC" w14:paraId="6ACD084E" w14:textId="77777777" w:rsidTr="00704ECB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F628D" w14:textId="7A1DEA6C" w:rsidR="00BC355E" w:rsidRPr="00ED67CC" w:rsidRDefault="00006736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3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46EC6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Undistributed profit after tax until December 31, 2022: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A7A92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(1,774,059,896,886)</w:t>
            </w:r>
          </w:p>
        </w:tc>
      </w:tr>
      <w:tr w:rsidR="00BC355E" w:rsidRPr="00ED67CC" w14:paraId="507D71C5" w14:textId="77777777" w:rsidTr="00704ECB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48D4C" w14:textId="3AAE904E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3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D8B47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5077E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BC355E" w:rsidRPr="00ED67CC" w14:paraId="055AC45D" w14:textId="77777777" w:rsidTr="00704ECB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27C4A" w14:textId="555B1C99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3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70809" w14:textId="2D8757CE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0"/>
                <w:tab w:val="left" w:pos="54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Corporate income tax in 2023</w:t>
            </w:r>
            <w:r w:rsidR="00704ECB" w:rsidRPr="00ED67C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C2380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BC355E" w:rsidRPr="00ED67CC" w14:paraId="7CDEE372" w14:textId="77777777" w:rsidTr="00704ECB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BD59E" w14:textId="6999D973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3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EB9DB" w14:textId="06843750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Profit after tax in 2023</w:t>
            </w:r>
            <w:r w:rsidR="00704ECB" w:rsidRPr="00ED67C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CEDE2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0"/>
                <w:tab w:val="left" w:pos="16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BC355E" w:rsidRPr="00ED67CC" w14:paraId="40FCB0E4" w14:textId="77777777" w:rsidTr="00704ECB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87F6F" w14:textId="4E37FFBF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3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D71E8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Undistributed profit after tax as of December 31, 2023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7AE0A" w14:textId="77777777" w:rsidR="00BC355E" w:rsidRPr="00ED67CC" w:rsidRDefault="00D341AC" w:rsidP="0070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67CC">
              <w:rPr>
                <w:rFonts w:ascii="Arial" w:hAnsi="Arial" w:cs="Arial"/>
                <w:color w:val="010000"/>
                <w:sz w:val="20"/>
              </w:rPr>
              <w:t>(1,774,059,896,886)</w:t>
            </w:r>
          </w:p>
        </w:tc>
      </w:tr>
    </w:tbl>
    <w:p w14:paraId="391AECF3" w14:textId="77777777" w:rsidR="00BC355E" w:rsidRPr="00ED67CC" w:rsidRDefault="00D341AC" w:rsidP="00704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 xml:space="preserve">Notes: Undistributed profits after tax to the end of 2023 are negative, so dividends cannot be paid. </w:t>
      </w:r>
    </w:p>
    <w:p w14:paraId="0288D5EA" w14:textId="74383279" w:rsidR="00EF6605" w:rsidRPr="00ED67CC" w:rsidRDefault="00CC04D3" w:rsidP="00704E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eastAsia="Arial" w:hAnsi="Arial" w:cs="Arial"/>
          <w:color w:val="010000"/>
          <w:sz w:val="20"/>
          <w:szCs w:val="20"/>
        </w:rPr>
        <w:t>Approve selecting an audit company for the Financial Statements 2024.</w:t>
      </w:r>
    </w:p>
    <w:p w14:paraId="1BF6BAFE" w14:textId="7A5D74FC" w:rsidR="00CC04D3" w:rsidRPr="00ED67CC" w:rsidRDefault="00CC04D3" w:rsidP="00704E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eastAsia="Arial" w:hAnsi="Arial" w:cs="Arial"/>
          <w:color w:val="010000"/>
          <w:sz w:val="20"/>
          <w:szCs w:val="20"/>
        </w:rPr>
        <w:t xml:space="preserve">Approve the remuneration for 2023 and the salary and remuneration plan 2024 for the Board of Directors, the Supervisory Board and the Executive Board. </w:t>
      </w:r>
    </w:p>
    <w:p w14:paraId="5901031D" w14:textId="10615F11" w:rsidR="00BC355E" w:rsidRPr="00ED67CC" w:rsidRDefault="00D341AC" w:rsidP="00704E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Approve the contract for petroleum trading transactions between PETEC and PetroVietnam Oil Corporation (PV OIL).</w:t>
      </w:r>
    </w:p>
    <w:p w14:paraId="16E14B66" w14:textId="764DD14B" w:rsidR="00BC355E" w:rsidRPr="00ED67CC" w:rsidRDefault="00D341AC" w:rsidP="00704E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Approving the addition of business lines and amending and supplementing Clause 1, Article 4 of the Charter of Organization and Operation of</w:t>
      </w:r>
      <w:r w:rsidR="004E0391" w:rsidRPr="00ED67CC">
        <w:rPr>
          <w:rFonts w:ascii="Arial" w:hAnsi="Arial" w:cs="Arial"/>
          <w:color w:val="010000"/>
          <w:sz w:val="20"/>
        </w:rPr>
        <w:t xml:space="preserve"> Petec Trading and Investment Corporation</w:t>
      </w:r>
      <w:r w:rsidRPr="00ED67CC">
        <w:rPr>
          <w:rFonts w:ascii="Arial" w:hAnsi="Arial" w:cs="Arial"/>
          <w:color w:val="010000"/>
          <w:sz w:val="20"/>
        </w:rPr>
        <w:t xml:space="preserve"> as follows:</w:t>
      </w:r>
    </w:p>
    <w:p w14:paraId="5C16560E" w14:textId="7687B66B" w:rsidR="00BC355E" w:rsidRPr="00ED67CC" w:rsidRDefault="00D341AC" w:rsidP="00704E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 xml:space="preserve">Supplement business lines: “Activities of </w:t>
      </w:r>
      <w:r w:rsidR="00ED67CC" w:rsidRPr="00ED67CC">
        <w:rPr>
          <w:rFonts w:ascii="Arial" w:hAnsi="Arial" w:cs="Arial"/>
          <w:color w:val="010000"/>
          <w:sz w:val="20"/>
        </w:rPr>
        <w:t xml:space="preserve">insurance </w:t>
      </w:r>
      <w:r w:rsidRPr="00ED67CC">
        <w:rPr>
          <w:rFonts w:ascii="Arial" w:hAnsi="Arial" w:cs="Arial"/>
          <w:color w:val="010000"/>
          <w:sz w:val="20"/>
        </w:rPr>
        <w:t>agents and</w:t>
      </w:r>
      <w:r w:rsidR="00ED67CC" w:rsidRPr="00ED67CC">
        <w:rPr>
          <w:rFonts w:ascii="Arial" w:hAnsi="Arial" w:cs="Arial"/>
          <w:color w:val="010000"/>
          <w:sz w:val="20"/>
        </w:rPr>
        <w:t xml:space="preserve"> </w:t>
      </w:r>
      <w:r w:rsidRPr="00ED67CC">
        <w:rPr>
          <w:rFonts w:ascii="Arial" w:hAnsi="Arial" w:cs="Arial"/>
          <w:color w:val="010000"/>
          <w:sz w:val="20"/>
        </w:rPr>
        <w:t>brokers</w:t>
      </w:r>
      <w:r w:rsidR="004E0391" w:rsidRPr="00ED67CC">
        <w:rPr>
          <w:rFonts w:ascii="Arial" w:hAnsi="Arial" w:cs="Arial"/>
          <w:color w:val="010000"/>
          <w:sz w:val="20"/>
        </w:rPr>
        <w:t>”</w:t>
      </w:r>
      <w:r w:rsidR="00ED67CC" w:rsidRPr="00ED67CC">
        <w:rPr>
          <w:rFonts w:ascii="Arial" w:hAnsi="Arial" w:cs="Arial"/>
          <w:color w:val="010000"/>
          <w:sz w:val="20"/>
        </w:rPr>
        <w:t xml:space="preserve"> – business line</w:t>
      </w:r>
      <w:r w:rsidRPr="00ED67CC">
        <w:rPr>
          <w:rFonts w:ascii="Arial" w:hAnsi="Arial" w:cs="Arial"/>
          <w:color w:val="010000"/>
          <w:sz w:val="20"/>
        </w:rPr>
        <w:t xml:space="preserve"> code 6622; detail: Insurance agent.</w:t>
      </w:r>
    </w:p>
    <w:p w14:paraId="1D131FF4" w14:textId="05A9D0DA" w:rsidR="00BC355E" w:rsidRPr="00ED67CC" w:rsidRDefault="00D341AC" w:rsidP="00704E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>The General Meeting of Shareholders agreed to assign the General Manager - Legal Representative of</w:t>
      </w:r>
      <w:r w:rsidR="00ED67CC" w:rsidRPr="00ED67CC">
        <w:rPr>
          <w:rFonts w:ascii="Arial" w:hAnsi="Arial" w:cs="Arial"/>
          <w:color w:val="010000"/>
          <w:sz w:val="20"/>
        </w:rPr>
        <w:t xml:space="preserve"> </w:t>
      </w:r>
      <w:r w:rsidRPr="00ED67CC">
        <w:rPr>
          <w:rFonts w:ascii="Arial" w:hAnsi="Arial" w:cs="Arial"/>
          <w:color w:val="010000"/>
          <w:sz w:val="20"/>
        </w:rPr>
        <w:t>the Corporation to carry out the necessary procedures related to adding business lines in the Business Registration Certificate according to the regulations under the law.</w:t>
      </w:r>
    </w:p>
    <w:p w14:paraId="01BD8D0A" w14:textId="4C560F6C" w:rsidR="00BC355E" w:rsidRPr="00ED67CC" w:rsidRDefault="00D341AC" w:rsidP="00704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67CC">
        <w:rPr>
          <w:rFonts w:ascii="Arial" w:hAnsi="Arial" w:cs="Arial"/>
          <w:color w:val="010000"/>
          <w:sz w:val="20"/>
        </w:rPr>
        <w:t xml:space="preserve">‎‎Article 2. This </w:t>
      </w:r>
      <w:r w:rsidR="00ED67CC" w:rsidRPr="00ED67CC">
        <w:rPr>
          <w:rFonts w:ascii="Arial" w:hAnsi="Arial" w:cs="Arial"/>
          <w:color w:val="010000"/>
          <w:sz w:val="20"/>
        </w:rPr>
        <w:t>General Mandate</w:t>
      </w:r>
      <w:r w:rsidRPr="00ED67CC">
        <w:rPr>
          <w:rFonts w:ascii="Arial" w:hAnsi="Arial" w:cs="Arial"/>
          <w:color w:val="010000"/>
          <w:sz w:val="20"/>
        </w:rPr>
        <w:t xml:space="preserve"> takes effect from the date of its signing. The Board of Directors, </w:t>
      </w:r>
      <w:r w:rsidR="00ED67CC" w:rsidRPr="00ED67CC">
        <w:rPr>
          <w:rFonts w:ascii="Arial" w:hAnsi="Arial" w:cs="Arial"/>
          <w:color w:val="010000"/>
          <w:sz w:val="20"/>
        </w:rPr>
        <w:t xml:space="preserve">the </w:t>
      </w:r>
      <w:r w:rsidRPr="00ED67CC">
        <w:rPr>
          <w:rFonts w:ascii="Arial" w:hAnsi="Arial" w:cs="Arial"/>
          <w:color w:val="010000"/>
          <w:sz w:val="20"/>
        </w:rPr>
        <w:t xml:space="preserve">Supervisory Board and </w:t>
      </w:r>
      <w:r w:rsidR="00ED67CC" w:rsidRPr="00ED67CC">
        <w:rPr>
          <w:rFonts w:ascii="Arial" w:hAnsi="Arial" w:cs="Arial"/>
          <w:color w:val="010000"/>
          <w:sz w:val="20"/>
        </w:rPr>
        <w:t xml:space="preserve">the </w:t>
      </w:r>
      <w:r w:rsidRPr="00ED67CC">
        <w:rPr>
          <w:rFonts w:ascii="Arial" w:hAnsi="Arial" w:cs="Arial"/>
          <w:color w:val="010000"/>
          <w:sz w:val="20"/>
        </w:rPr>
        <w:t xml:space="preserve">Executive Board of </w:t>
      </w:r>
      <w:r w:rsidR="00ED67CC" w:rsidRPr="00ED67CC">
        <w:rPr>
          <w:rFonts w:ascii="Arial" w:hAnsi="Arial" w:cs="Arial"/>
          <w:color w:val="010000"/>
          <w:sz w:val="20"/>
        </w:rPr>
        <w:t xml:space="preserve">Petec Trading and Investment Corporation </w:t>
      </w:r>
      <w:r w:rsidRPr="00ED67CC">
        <w:rPr>
          <w:rFonts w:ascii="Arial" w:hAnsi="Arial" w:cs="Arial"/>
          <w:color w:val="010000"/>
          <w:sz w:val="20"/>
        </w:rPr>
        <w:t xml:space="preserve">are responsible for implementing this </w:t>
      </w:r>
      <w:r w:rsidR="00ED67CC" w:rsidRPr="00ED67CC">
        <w:rPr>
          <w:rFonts w:ascii="Arial" w:hAnsi="Arial" w:cs="Arial"/>
          <w:color w:val="010000"/>
          <w:sz w:val="20"/>
        </w:rPr>
        <w:t>General Mandate</w:t>
      </w:r>
      <w:r w:rsidRPr="00ED67CC">
        <w:rPr>
          <w:rFonts w:ascii="Arial" w:hAnsi="Arial" w:cs="Arial"/>
          <w:color w:val="010000"/>
          <w:sz w:val="20"/>
        </w:rPr>
        <w:t>./.</w:t>
      </w:r>
    </w:p>
    <w:sectPr w:rsidR="00BC355E" w:rsidRPr="00ED67CC" w:rsidSect="00704ECB">
      <w:footerReference w:type="default" r:id="rId8"/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0165" w14:textId="77777777" w:rsidR="003E082C" w:rsidRDefault="003E082C">
      <w:r>
        <w:separator/>
      </w:r>
    </w:p>
  </w:endnote>
  <w:endnote w:type="continuationSeparator" w:id="0">
    <w:p w14:paraId="2B75E476" w14:textId="77777777" w:rsidR="003E082C" w:rsidRDefault="003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E6E4" w14:textId="77777777" w:rsidR="00BC355E" w:rsidRDefault="00BC3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02AD" w14:textId="77777777" w:rsidR="003E082C" w:rsidRDefault="003E082C">
      <w:r>
        <w:separator/>
      </w:r>
    </w:p>
  </w:footnote>
  <w:footnote w:type="continuationSeparator" w:id="0">
    <w:p w14:paraId="5A0CD8EC" w14:textId="77777777" w:rsidR="003E082C" w:rsidRDefault="003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F93"/>
    <w:multiLevelType w:val="multilevel"/>
    <w:tmpl w:val="0750F2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BF3C77"/>
    <w:multiLevelType w:val="multilevel"/>
    <w:tmpl w:val="F83EE51C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E91"/>
    <w:multiLevelType w:val="multilevel"/>
    <w:tmpl w:val="66AE7F7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3854F3"/>
    <w:multiLevelType w:val="multilevel"/>
    <w:tmpl w:val="675CC9D2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4634456"/>
    <w:multiLevelType w:val="multilevel"/>
    <w:tmpl w:val="98B4AD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E"/>
    <w:rsid w:val="00006736"/>
    <w:rsid w:val="00316C69"/>
    <w:rsid w:val="003E082C"/>
    <w:rsid w:val="004449F2"/>
    <w:rsid w:val="004E0391"/>
    <w:rsid w:val="00704ECB"/>
    <w:rsid w:val="008343FB"/>
    <w:rsid w:val="00923C88"/>
    <w:rsid w:val="009500CE"/>
    <w:rsid w:val="009D7A94"/>
    <w:rsid w:val="00BC355E"/>
    <w:rsid w:val="00CC04D3"/>
    <w:rsid w:val="00D341AC"/>
    <w:rsid w:val="00ED67CC"/>
    <w:rsid w:val="00E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ADB0B"/>
  <w15:docId w15:val="{B9ABAE50-05C0-4DDA-9365-EF60C20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C5494"/>
      <w:sz w:val="30"/>
      <w:szCs w:val="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libri" w:eastAsia="Calibri" w:hAnsi="Calibri" w:cs="Calibri"/>
      <w:b/>
      <w:bCs/>
      <w:i w:val="0"/>
      <w:iCs w:val="0"/>
      <w:smallCaps w:val="0"/>
      <w:strike w:val="0"/>
      <w:color w:val="1C5494"/>
      <w:w w:val="60"/>
      <w:sz w:val="40"/>
      <w:szCs w:val="4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Ghichcuitrang0">
    <w:name w:val="Ghi chú cuối trang"/>
    <w:basedOn w:val="Normal"/>
    <w:link w:val="Ghichcuitrang"/>
    <w:pPr>
      <w:spacing w:line="312" w:lineRule="auto"/>
      <w:ind w:left="240" w:firstLine="44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smallCaps/>
      <w:color w:val="1C5494"/>
      <w:sz w:val="30"/>
      <w:szCs w:val="3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pPr>
      <w:spacing w:line="269" w:lineRule="auto"/>
      <w:ind w:firstLine="280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Mclc0">
    <w:name w:val="Mục lục"/>
    <w:basedOn w:val="Normal"/>
    <w:link w:val="Mclc"/>
    <w:pPr>
      <w:spacing w:line="314" w:lineRule="auto"/>
      <w:ind w:left="240" w:firstLine="4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Calibri" w:eastAsia="Calibri" w:hAnsi="Calibri" w:cs="Calibri"/>
      <w:b/>
      <w:bCs/>
      <w:color w:val="1C5494"/>
      <w:w w:val="60"/>
      <w:sz w:val="40"/>
      <w:szCs w:val="4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B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BD1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Km7PzPBo6lYynMchYR6tlGHsBA==">CgMxLjAyCGguZ2pkZ3hzOAByITFJN3lQaGR5WDBsc2hnTjd4MDZOSzdGa1l6LU1Ubi1mMw==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2024-04-24T03:36:00Z</dcterms:created>
  <dcterms:modified xsi:type="dcterms:W3CDTF">2024-04-24T03:36:00Z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78b9fdedc783e075e0f3aa7d34a9996d4eb80f706760b063cf1d2170760ee75c</vt:lpwstr>
  </property>
</Properties>
</file>