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03F0" w:rsidRDefault="00E67542" w:rsidP="006B4B6E">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PIA: Annual General Mandate 2024</w:t>
      </w:r>
    </w:p>
    <w:p w14:paraId="00000002" w14:textId="77777777" w:rsidR="002F03F0" w:rsidRDefault="00E67542" w:rsidP="006B4B6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17, 2024, Petrolimex Information Technology and Telecommunication Joint Stock Company announced General Mandate No. 283/PIACOM-NQ-DHDCD as follows:</w:t>
      </w:r>
    </w:p>
    <w:p w14:paraId="00000003" w14:textId="77777777" w:rsidR="002F03F0" w:rsidRDefault="00E67542" w:rsidP="006B4B6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The Annual General Meeting of Shareholders in 2024 of Petrolimex Information Technology and Telecommunication Joint Stock Company approved the following contents:</w:t>
      </w:r>
    </w:p>
    <w:p w14:paraId="00000004" w14:textId="77777777" w:rsidR="002F03F0" w:rsidRDefault="00E67542" w:rsidP="006B4B6E">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Report on the results of management and administration of production and business activities in 2023, objectives, orientations, and solutions for 2024 by the Executive Board </w:t>
      </w:r>
    </w:p>
    <w:p w14:paraId="00000005" w14:textId="77777777" w:rsidR="002F03F0" w:rsidRDefault="00E67542" w:rsidP="006B4B6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p w14:paraId="00000006" w14:textId="77777777" w:rsidR="002F03F0" w:rsidRDefault="00E67542" w:rsidP="006B4B6E">
      <w:pPr>
        <w:numPr>
          <w:ilvl w:val="0"/>
          <w:numId w:val="3"/>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Results of production and business activities in 2023:</w:t>
      </w:r>
    </w:p>
    <w:p w14:paraId="00000007" w14:textId="03B06DB5"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Net revenue from goods sales and service provision: VND 118,471 million.</w:t>
      </w:r>
    </w:p>
    <w:p w14:paraId="00000008" w14:textId="7E858FA4"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Profit after tax: VND 13,164 million;</w:t>
      </w:r>
    </w:p>
    <w:p w14:paraId="00000009" w14:textId="77777777" w:rsidR="002F03F0" w:rsidRDefault="00E67542" w:rsidP="006B4B6E">
      <w:pPr>
        <w:numPr>
          <w:ilvl w:val="0"/>
          <w:numId w:val="3"/>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in 2024</w:t>
      </w:r>
    </w:p>
    <w:p w14:paraId="0000000A" w14:textId="61E0F1D0" w:rsidR="002F03F0" w:rsidRDefault="00E67542" w:rsidP="006B4B6E">
      <w:pPr>
        <w:numPr>
          <w:ilvl w:val="0"/>
          <w:numId w:val="2"/>
        </w:numPr>
        <w:pBdr>
          <w:top w:val="nil"/>
          <w:left w:val="nil"/>
          <w:bottom w:val="nil"/>
          <w:right w:val="nil"/>
          <w:between w:val="nil"/>
        </w:pBdr>
        <w:tabs>
          <w:tab w:val="left" w:pos="630"/>
          <w:tab w:val="left" w:pos="690"/>
        </w:tabs>
        <w:spacing w:after="120" w:line="360" w:lineRule="auto"/>
        <w:jc w:val="both"/>
        <w:rPr>
          <w:rFonts w:ascii="Arial" w:eastAsia="Arial" w:hAnsi="Arial" w:cs="Arial"/>
          <w:color w:val="010000"/>
          <w:sz w:val="20"/>
          <w:szCs w:val="20"/>
        </w:rPr>
      </w:pPr>
      <w:r>
        <w:rPr>
          <w:rFonts w:ascii="Arial" w:hAnsi="Arial"/>
          <w:color w:val="010000"/>
          <w:sz w:val="20"/>
        </w:rPr>
        <w:t>Revenue from goods sales: VND 136,800 million, an increase of 15% compared to 2023, of which service value: VND 86,500 million, an increase of 8% compared to that of 2023.</w:t>
      </w:r>
    </w:p>
    <w:p w14:paraId="0000000B" w14:textId="402B2B04"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Profit before tax: VND 18,350 million, an increase of 10% compared to that of 2023.</w:t>
      </w:r>
    </w:p>
    <w:p w14:paraId="0000000C" w14:textId="45B041E6"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Average income per employee &gt; VND 20 million/person/month.</w:t>
      </w:r>
    </w:p>
    <w:p w14:paraId="0000000D" w14:textId="77777777"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Minimum dividend payout rate of 10%/year.</w:t>
      </w:r>
    </w:p>
    <w:p w14:paraId="0000000E" w14:textId="56EEF328" w:rsidR="002F03F0" w:rsidRDefault="00E67542" w:rsidP="006B4B6E">
      <w:pPr>
        <w:numPr>
          <w:ilvl w:val="0"/>
          <w:numId w:val="2"/>
        </w:numPr>
        <w:pBdr>
          <w:top w:val="nil"/>
          <w:left w:val="nil"/>
          <w:bottom w:val="nil"/>
          <w:right w:val="nil"/>
          <w:between w:val="nil"/>
        </w:pBdr>
        <w:tabs>
          <w:tab w:val="left" w:pos="630"/>
          <w:tab w:val="left" w:pos="694"/>
        </w:tabs>
        <w:spacing w:after="120" w:line="360" w:lineRule="auto"/>
        <w:jc w:val="both"/>
        <w:rPr>
          <w:rFonts w:ascii="Arial" w:eastAsia="Arial" w:hAnsi="Arial" w:cs="Arial"/>
          <w:color w:val="010000"/>
          <w:sz w:val="20"/>
          <w:szCs w:val="20"/>
        </w:rPr>
      </w:pPr>
      <w:r>
        <w:rPr>
          <w:rFonts w:ascii="Arial" w:hAnsi="Arial"/>
          <w:color w:val="010000"/>
          <w:sz w:val="20"/>
        </w:rPr>
        <w:t>Minimum investment value of VND 4,000 million, focusing on upgrading and building new software product platforms towards intelligence and utilities.</w:t>
      </w:r>
    </w:p>
    <w:p w14:paraId="0000000F" w14:textId="77777777" w:rsidR="002F03F0" w:rsidRDefault="00E67542" w:rsidP="006B4B6E">
      <w:pPr>
        <w:numPr>
          <w:ilvl w:val="0"/>
          <w:numId w:val="4"/>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 xml:space="preserve">Report on the activities of the Board of Directors in 2023 and Orientation in 2024; </w:t>
      </w:r>
    </w:p>
    <w:p w14:paraId="00000010" w14:textId="77777777" w:rsidR="002F03F0" w:rsidRDefault="00E67542" w:rsidP="006B4B6E">
      <w:pPr>
        <w:numPr>
          <w:ilvl w:val="0"/>
          <w:numId w:val="4"/>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Report on activities of Supervisory Board in 2023</w:t>
      </w:r>
    </w:p>
    <w:p w14:paraId="00000011" w14:textId="77777777" w:rsidR="002F03F0" w:rsidRDefault="00E67542" w:rsidP="006B4B6E">
      <w:pPr>
        <w:numPr>
          <w:ilvl w:val="0"/>
          <w:numId w:val="4"/>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 xml:space="preserve">Proposal on the selection of an audit company for the Financial Statements 2024 </w:t>
      </w:r>
    </w:p>
    <w:p w14:paraId="00000012" w14:textId="77777777" w:rsidR="002F03F0" w:rsidRDefault="00E67542" w:rsidP="006B4B6E">
      <w:pPr>
        <w:pBdr>
          <w:top w:val="nil"/>
          <w:left w:val="nil"/>
          <w:bottom w:val="nil"/>
          <w:right w:val="nil"/>
          <w:between w:val="nil"/>
        </w:pBdr>
        <w:tabs>
          <w:tab w:val="left" w:pos="746"/>
        </w:tabs>
        <w:spacing w:after="120" w:line="360" w:lineRule="auto"/>
        <w:jc w:val="both"/>
        <w:rPr>
          <w:rFonts w:ascii="Arial" w:eastAsia="Arial" w:hAnsi="Arial" w:cs="Arial"/>
          <w:color w:val="010000"/>
          <w:sz w:val="20"/>
          <w:szCs w:val="20"/>
        </w:rPr>
      </w:pPr>
      <w:r>
        <w:rPr>
          <w:rFonts w:ascii="Arial" w:hAnsi="Arial"/>
          <w:color w:val="010000"/>
          <w:sz w:val="20"/>
        </w:rPr>
        <w:t>Accordingly, the General Meeting of Shareholders assigns the Board of Directors to decide on selecting one of the following audit companies:</w:t>
      </w:r>
    </w:p>
    <w:p w14:paraId="00000013" w14:textId="77777777"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An Viet Auditing Company Limited;</w:t>
      </w:r>
    </w:p>
    <w:p w14:paraId="00000014" w14:textId="77777777"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KPMG Limited (KPMG);</w:t>
      </w:r>
    </w:p>
    <w:p w14:paraId="00000015" w14:textId="77777777"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 xml:space="preserve">CPA Vietnam Auditing Company Limited (CPA Vietnam). </w:t>
      </w:r>
    </w:p>
    <w:p w14:paraId="00000016" w14:textId="77777777" w:rsidR="002F03F0" w:rsidRDefault="00E67542" w:rsidP="006B4B6E">
      <w:pPr>
        <w:numPr>
          <w:ilvl w:val="0"/>
          <w:numId w:val="4"/>
        </w:numPr>
        <w:pBdr>
          <w:top w:val="nil"/>
          <w:left w:val="nil"/>
          <w:bottom w:val="nil"/>
          <w:right w:val="nil"/>
          <w:between w:val="nil"/>
        </w:pBdr>
        <w:tabs>
          <w:tab w:val="left" w:pos="630"/>
          <w:tab w:val="left" w:pos="746"/>
        </w:tabs>
        <w:spacing w:after="120" w:line="360" w:lineRule="auto"/>
        <w:jc w:val="both"/>
        <w:rPr>
          <w:rFonts w:ascii="Arial" w:eastAsia="Arial" w:hAnsi="Arial" w:cs="Arial"/>
          <w:color w:val="010000"/>
          <w:sz w:val="20"/>
          <w:szCs w:val="20"/>
        </w:rPr>
      </w:pPr>
      <w:r>
        <w:rPr>
          <w:rFonts w:ascii="Arial" w:hAnsi="Arial"/>
          <w:color w:val="010000"/>
          <w:sz w:val="20"/>
        </w:rPr>
        <w:t>Audited Combined Financial Statements 2023</w:t>
      </w:r>
    </w:p>
    <w:p w14:paraId="00000017" w14:textId="77777777" w:rsidR="002F03F0" w:rsidRDefault="00E67542" w:rsidP="006B4B6E">
      <w:pPr>
        <w:numPr>
          <w:ilvl w:val="0"/>
          <w:numId w:val="4"/>
        </w:numPr>
        <w:pBdr>
          <w:top w:val="nil"/>
          <w:left w:val="nil"/>
          <w:bottom w:val="nil"/>
          <w:right w:val="nil"/>
          <w:between w:val="nil"/>
        </w:pBdr>
        <w:tabs>
          <w:tab w:val="left" w:pos="630"/>
          <w:tab w:val="left" w:pos="761"/>
        </w:tabs>
        <w:spacing w:after="120" w:line="360" w:lineRule="auto"/>
        <w:jc w:val="both"/>
        <w:rPr>
          <w:rFonts w:ascii="Arial" w:eastAsia="Arial" w:hAnsi="Arial" w:cs="Arial"/>
          <w:color w:val="010000"/>
          <w:sz w:val="20"/>
          <w:szCs w:val="20"/>
        </w:rPr>
      </w:pPr>
      <w:r>
        <w:rPr>
          <w:rFonts w:ascii="Arial" w:hAnsi="Arial"/>
          <w:color w:val="010000"/>
          <w:sz w:val="20"/>
        </w:rPr>
        <w:t>Report on final settlement of salaries and remunerations of members of the Board of Directors and remunerations of members of the Supervisory Board in 2023;</w:t>
      </w:r>
    </w:p>
    <w:p w14:paraId="00000018" w14:textId="36B67DC9"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Total salary and remuneration of the Board of Directors in 2023 is: VND 1,051.2 million;</w:t>
      </w:r>
    </w:p>
    <w:p w14:paraId="00000019" w14:textId="4C730EDF" w:rsidR="002F03F0" w:rsidRDefault="00E67542" w:rsidP="006B4B6E">
      <w:pPr>
        <w:numPr>
          <w:ilvl w:val="0"/>
          <w:numId w:val="2"/>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Total remuneration of the Supervisory Board in 2023 is:  VND 201.6 million;</w:t>
      </w:r>
    </w:p>
    <w:p w14:paraId="0000001A" w14:textId="77777777" w:rsidR="002F03F0" w:rsidRDefault="00E67542" w:rsidP="006B4B6E">
      <w:pPr>
        <w:numPr>
          <w:ilvl w:val="0"/>
          <w:numId w:val="4"/>
        </w:numPr>
        <w:pBdr>
          <w:top w:val="nil"/>
          <w:left w:val="nil"/>
          <w:bottom w:val="nil"/>
          <w:right w:val="nil"/>
          <w:between w:val="nil"/>
        </w:pBdr>
        <w:tabs>
          <w:tab w:val="left" w:pos="630"/>
          <w:tab w:val="left" w:pos="787"/>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Proposal on salary and remuneration settlement for members of the Board of Directors, members the Supervisory Board in 2024; </w:t>
      </w:r>
    </w:p>
    <w:p w14:paraId="0000001B" w14:textId="41F6F7EC" w:rsidR="002F03F0" w:rsidRDefault="00E67542" w:rsidP="006B4B6E">
      <w:pPr>
        <w:numPr>
          <w:ilvl w:val="0"/>
          <w:numId w:val="2"/>
        </w:numPr>
        <w:pBdr>
          <w:top w:val="nil"/>
          <w:left w:val="nil"/>
          <w:bottom w:val="nil"/>
          <w:right w:val="nil"/>
          <w:between w:val="nil"/>
        </w:pBdr>
        <w:tabs>
          <w:tab w:val="left" w:pos="569"/>
        </w:tabs>
        <w:spacing w:after="120" w:line="360" w:lineRule="auto"/>
        <w:jc w:val="both"/>
        <w:rPr>
          <w:rFonts w:ascii="Arial" w:eastAsia="Arial" w:hAnsi="Arial" w:cs="Arial"/>
          <w:color w:val="010000"/>
          <w:sz w:val="20"/>
          <w:szCs w:val="20"/>
        </w:rPr>
      </w:pPr>
      <w:r>
        <w:rPr>
          <w:rFonts w:ascii="Arial" w:hAnsi="Arial"/>
          <w:color w:val="010000"/>
          <w:sz w:val="20"/>
        </w:rPr>
        <w:t>Total planned salary and remuneration of the Board of Directors in 2024 is: VND 1,445 million;</w:t>
      </w:r>
    </w:p>
    <w:p w14:paraId="0000001C" w14:textId="093F63AB" w:rsidR="002F03F0" w:rsidRDefault="00E67542" w:rsidP="006B4B6E">
      <w:pPr>
        <w:numPr>
          <w:ilvl w:val="0"/>
          <w:numId w:val="2"/>
        </w:numPr>
        <w:pBdr>
          <w:top w:val="nil"/>
          <w:left w:val="nil"/>
          <w:bottom w:val="nil"/>
          <w:right w:val="nil"/>
          <w:between w:val="nil"/>
        </w:pBdr>
        <w:tabs>
          <w:tab w:val="left" w:pos="569"/>
        </w:tabs>
        <w:spacing w:after="120" w:line="360" w:lineRule="auto"/>
        <w:jc w:val="both"/>
        <w:rPr>
          <w:rFonts w:ascii="Arial" w:eastAsia="Arial" w:hAnsi="Arial" w:cs="Arial"/>
          <w:color w:val="010000"/>
          <w:sz w:val="20"/>
          <w:szCs w:val="20"/>
        </w:rPr>
      </w:pPr>
      <w:r>
        <w:rPr>
          <w:rFonts w:ascii="Arial" w:hAnsi="Arial"/>
          <w:color w:val="010000"/>
          <w:sz w:val="20"/>
        </w:rPr>
        <w:t>Total planned remuneration of the Supervisory Board in 2024 is:  VND 252 million;</w:t>
      </w:r>
    </w:p>
    <w:p w14:paraId="0000001D" w14:textId="77777777" w:rsidR="002F03F0" w:rsidRDefault="00E67542" w:rsidP="006B4B6E">
      <w:pPr>
        <w:numPr>
          <w:ilvl w:val="0"/>
          <w:numId w:val="4"/>
        </w:numPr>
        <w:pBdr>
          <w:top w:val="nil"/>
          <w:left w:val="nil"/>
          <w:bottom w:val="nil"/>
          <w:right w:val="nil"/>
          <w:between w:val="nil"/>
        </w:pBdr>
        <w:tabs>
          <w:tab w:val="left" w:pos="569"/>
          <w:tab w:val="left" w:pos="787"/>
        </w:tabs>
        <w:spacing w:after="120" w:line="360" w:lineRule="auto"/>
        <w:jc w:val="both"/>
        <w:rPr>
          <w:rFonts w:ascii="Arial" w:eastAsia="Arial" w:hAnsi="Arial" w:cs="Arial"/>
          <w:color w:val="010000"/>
          <w:sz w:val="20"/>
          <w:szCs w:val="20"/>
        </w:rPr>
      </w:pPr>
      <w:r>
        <w:rPr>
          <w:rFonts w:ascii="Arial" w:hAnsi="Arial"/>
          <w:color w:val="010000"/>
          <w:sz w:val="20"/>
        </w:rPr>
        <w:t>Proposal on the profit distribution plan for 2023</w:t>
      </w:r>
    </w:p>
    <w:p w14:paraId="0000001E" w14:textId="77777777" w:rsidR="002F03F0" w:rsidRDefault="00E67542" w:rsidP="006B4B6E">
      <w:pPr>
        <w:pBdr>
          <w:top w:val="nil"/>
          <w:left w:val="nil"/>
          <w:bottom w:val="nil"/>
          <w:right w:val="nil"/>
          <w:between w:val="nil"/>
        </w:pBdr>
        <w:tabs>
          <w:tab w:val="left" w:pos="569"/>
        </w:tabs>
        <w:spacing w:after="120" w:line="360" w:lineRule="auto"/>
        <w:jc w:val="both"/>
        <w:rPr>
          <w:rFonts w:ascii="Arial" w:eastAsia="Arial" w:hAnsi="Arial" w:cs="Arial"/>
          <w:color w:val="010000"/>
          <w:sz w:val="20"/>
          <w:szCs w:val="20"/>
        </w:rPr>
      </w:pPr>
      <w:r>
        <w:rPr>
          <w:rFonts w:ascii="Arial" w:hAnsi="Arial"/>
          <w:color w:val="010000"/>
          <w:sz w:val="20"/>
        </w:rPr>
        <w:t>In which:</w:t>
      </w:r>
    </w:p>
    <w:p w14:paraId="0000001F" w14:textId="1493DD61" w:rsidR="002F03F0" w:rsidRDefault="00E67542" w:rsidP="006B4B6E">
      <w:pPr>
        <w:numPr>
          <w:ilvl w:val="0"/>
          <w:numId w:val="2"/>
        </w:numPr>
        <w:pBdr>
          <w:top w:val="nil"/>
          <w:left w:val="nil"/>
          <w:bottom w:val="nil"/>
          <w:right w:val="nil"/>
          <w:between w:val="nil"/>
        </w:pBdr>
        <w:tabs>
          <w:tab w:val="left" w:pos="569"/>
          <w:tab w:val="left" w:pos="959"/>
        </w:tabs>
        <w:spacing w:after="120" w:line="360" w:lineRule="auto"/>
        <w:jc w:val="both"/>
        <w:rPr>
          <w:rFonts w:ascii="Arial" w:eastAsia="Arial" w:hAnsi="Arial" w:cs="Arial"/>
          <w:color w:val="010000"/>
          <w:sz w:val="20"/>
          <w:szCs w:val="20"/>
        </w:rPr>
      </w:pPr>
      <w:r>
        <w:rPr>
          <w:rFonts w:ascii="Arial" w:hAnsi="Arial"/>
          <w:color w:val="010000"/>
          <w:sz w:val="20"/>
        </w:rPr>
        <w:t>Undistributed profits in 2022: VND 875.3 Million.</w:t>
      </w:r>
    </w:p>
    <w:p w14:paraId="00000020" w14:textId="32DD9EAC" w:rsidR="002F03F0" w:rsidRDefault="00E67542" w:rsidP="006B4B6E">
      <w:pPr>
        <w:numPr>
          <w:ilvl w:val="0"/>
          <w:numId w:val="2"/>
        </w:numPr>
        <w:pBdr>
          <w:top w:val="nil"/>
          <w:left w:val="nil"/>
          <w:bottom w:val="nil"/>
          <w:right w:val="nil"/>
          <w:between w:val="nil"/>
        </w:pBdr>
        <w:tabs>
          <w:tab w:val="left" w:pos="569"/>
          <w:tab w:val="left" w:pos="959"/>
        </w:tabs>
        <w:spacing w:after="120" w:line="360" w:lineRule="auto"/>
        <w:jc w:val="both"/>
        <w:rPr>
          <w:rFonts w:ascii="Arial" w:eastAsia="Arial" w:hAnsi="Arial" w:cs="Arial"/>
          <w:color w:val="010000"/>
          <w:sz w:val="20"/>
          <w:szCs w:val="20"/>
        </w:rPr>
      </w:pPr>
      <w:r>
        <w:rPr>
          <w:rFonts w:ascii="Arial" w:hAnsi="Arial"/>
          <w:color w:val="010000"/>
          <w:sz w:val="20"/>
        </w:rPr>
        <w:t>Total profit after tax in 2023 for distribution:  VND 13,164.4 Million.</w:t>
      </w:r>
    </w:p>
    <w:p w14:paraId="00000021" w14:textId="22D637D8" w:rsidR="002F03F0" w:rsidRDefault="00E67542" w:rsidP="006B4B6E">
      <w:pPr>
        <w:numPr>
          <w:ilvl w:val="0"/>
          <w:numId w:val="2"/>
        </w:numPr>
        <w:pBdr>
          <w:top w:val="nil"/>
          <w:left w:val="nil"/>
          <w:bottom w:val="nil"/>
          <w:right w:val="nil"/>
          <w:between w:val="nil"/>
        </w:pBdr>
        <w:tabs>
          <w:tab w:val="left" w:pos="569"/>
          <w:tab w:val="left" w:pos="959"/>
        </w:tabs>
        <w:spacing w:after="120" w:line="360" w:lineRule="auto"/>
        <w:jc w:val="both"/>
        <w:rPr>
          <w:rFonts w:ascii="Arial" w:eastAsia="Arial" w:hAnsi="Arial" w:cs="Arial"/>
          <w:color w:val="010000"/>
          <w:sz w:val="20"/>
          <w:szCs w:val="20"/>
        </w:rPr>
      </w:pPr>
      <w:r>
        <w:rPr>
          <w:rFonts w:ascii="Arial" w:hAnsi="Arial"/>
          <w:color w:val="010000"/>
          <w:sz w:val="20"/>
        </w:rPr>
        <w:t>Accumulated undistributed profit after tax: VND 2,240.9 Million.</w:t>
      </w:r>
    </w:p>
    <w:p w14:paraId="00000022" w14:textId="77777777" w:rsidR="002F03F0" w:rsidRDefault="00E67542" w:rsidP="006B4B6E">
      <w:pPr>
        <w:numPr>
          <w:ilvl w:val="0"/>
          <w:numId w:val="4"/>
        </w:numPr>
        <w:pBdr>
          <w:top w:val="nil"/>
          <w:left w:val="nil"/>
          <w:bottom w:val="nil"/>
          <w:right w:val="nil"/>
          <w:between w:val="nil"/>
        </w:pBdr>
        <w:tabs>
          <w:tab w:val="left" w:pos="569"/>
          <w:tab w:val="left" w:pos="787"/>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Proposal to dismiss a member of the Board of Directors </w:t>
      </w:r>
    </w:p>
    <w:p w14:paraId="00000023" w14:textId="77777777" w:rsidR="002F03F0" w:rsidRDefault="00E67542" w:rsidP="006B4B6E">
      <w:pPr>
        <w:pBdr>
          <w:top w:val="nil"/>
          <w:left w:val="nil"/>
          <w:bottom w:val="nil"/>
          <w:right w:val="nil"/>
          <w:between w:val="nil"/>
        </w:pBdr>
        <w:tabs>
          <w:tab w:val="left" w:pos="569"/>
        </w:tabs>
        <w:spacing w:after="120" w:line="360" w:lineRule="auto"/>
        <w:jc w:val="both"/>
        <w:rPr>
          <w:rFonts w:ascii="Arial" w:eastAsia="Arial" w:hAnsi="Arial" w:cs="Arial"/>
          <w:color w:val="010000"/>
          <w:sz w:val="20"/>
          <w:szCs w:val="20"/>
        </w:rPr>
      </w:pPr>
      <w:r>
        <w:rPr>
          <w:rFonts w:ascii="Arial" w:hAnsi="Arial"/>
          <w:color w:val="010000"/>
          <w:sz w:val="20"/>
        </w:rPr>
        <w:t xml:space="preserve"> The Annual General Meeting of Shareholders in 2024 approves the dismissal of Mr. Nguyen Dinh Thanh as a member of the Board of Directors.</w:t>
      </w:r>
    </w:p>
    <w:p w14:paraId="00000024" w14:textId="77777777" w:rsidR="002F03F0" w:rsidRDefault="00E67542" w:rsidP="006B4B6E">
      <w:pPr>
        <w:numPr>
          <w:ilvl w:val="0"/>
          <w:numId w:val="4"/>
        </w:numPr>
        <w:pBdr>
          <w:top w:val="nil"/>
          <w:left w:val="nil"/>
          <w:bottom w:val="nil"/>
          <w:right w:val="nil"/>
          <w:between w:val="nil"/>
        </w:pBdr>
        <w:tabs>
          <w:tab w:val="left" w:pos="569"/>
          <w:tab w:val="left" w:pos="902"/>
        </w:tabs>
        <w:spacing w:after="120" w:line="360" w:lineRule="auto"/>
        <w:jc w:val="both"/>
        <w:rPr>
          <w:rFonts w:ascii="Arial" w:eastAsia="Arial" w:hAnsi="Arial" w:cs="Arial"/>
          <w:color w:val="010000"/>
          <w:sz w:val="20"/>
          <w:szCs w:val="20"/>
        </w:rPr>
      </w:pPr>
      <w:r>
        <w:rPr>
          <w:rFonts w:ascii="Arial" w:hAnsi="Arial"/>
          <w:color w:val="010000"/>
          <w:sz w:val="20"/>
        </w:rPr>
        <w:t xml:space="preserve">Report to the General Meeting of Shareholders on the results of nomination and self-nomination of independent members of the Board of Directors and organization of activities of the Board of Directors when an independent member of the Board of Directors has not been added </w:t>
      </w:r>
    </w:p>
    <w:p w14:paraId="00000025" w14:textId="77777777" w:rsidR="002F03F0" w:rsidRDefault="00E67542" w:rsidP="006B4B6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 the Company has not found a suitable person to introduce for additional election at the Annual General Meeting of Shareholders in 2024. During the period when an independent member of the Board of Directors has not been additionally elected, the Board of Directors of Petrolimex Information Technology and Telecommunication Joint Stock Company will temporarily operate with 4 members, and the additional election of an independent member of the Board of Directors will be carried out as soon as possible in accordance with regulations.</w:t>
      </w:r>
    </w:p>
    <w:p w14:paraId="00000026" w14:textId="77777777" w:rsidR="002F03F0" w:rsidRDefault="00E67542" w:rsidP="006B4B6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The Annual General Meeting of Shareholders in 2024 assigns the Board of Directors of the Company to organize the specific implementation of the above-mentioned contents of the General Mandate.</w:t>
      </w:r>
      <w:bookmarkEnd w:id="0"/>
    </w:p>
    <w:sectPr w:rsidR="002F03F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230"/>
    <w:multiLevelType w:val="multilevel"/>
    <w:tmpl w:val="31FCE02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060E81"/>
    <w:multiLevelType w:val="multilevel"/>
    <w:tmpl w:val="1E76D760"/>
    <w:lvl w:ilvl="0">
      <w:start w:val="1"/>
      <w:numFmt w:val="bullet"/>
      <w:lvlText w:val="-"/>
      <w:lvlJc w:val="left"/>
      <w:pPr>
        <w:ind w:left="0" w:firstLine="0"/>
      </w:pPr>
      <w:rPr>
        <w:rFonts w:ascii="Arial" w:eastAsia="Arial" w:hAnsi="Arial" w:cs="Arial"/>
        <w:b w:val="0"/>
        <w:i w:val="0"/>
        <w:smallCaps w:val="0"/>
        <w:strike w:val="0"/>
        <w:color w:val="2D31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8421EA"/>
    <w:multiLevelType w:val="multilevel"/>
    <w:tmpl w:val="826AABA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D0412F6"/>
    <w:multiLevelType w:val="multilevel"/>
    <w:tmpl w:val="59F0D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F0"/>
    <w:rsid w:val="002F03F0"/>
    <w:rsid w:val="006B4B6E"/>
    <w:rsid w:val="00E6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8CC6"/>
  <w15:docId w15:val="{87242DF1-1591-4994-87AF-B9DEB961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D3133"/>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paragraph" w:customStyle="1" w:styleId="Vnbnnidung20">
    <w:name w:val="Văn bản nội dung (2)"/>
    <w:basedOn w:val="Normal"/>
    <w:link w:val="Vnbnnidung2"/>
    <w:pPr>
      <w:ind w:firstLine="400"/>
    </w:pPr>
    <w:rPr>
      <w:rFonts w:ascii="Times New Roman" w:eastAsia="Times New Roman" w:hAnsi="Times New Roman" w:cs="Times New Roman"/>
      <w:color w:val="2D3133"/>
      <w:sz w:val="22"/>
      <w:szCs w:val="22"/>
    </w:rPr>
  </w:style>
  <w:style w:type="paragraph" w:customStyle="1" w:styleId="Vnbnnidung50">
    <w:name w:val="Văn bản nội dung (5)"/>
    <w:basedOn w:val="Normal"/>
    <w:link w:val="Vnbnnidung5"/>
    <w:rPr>
      <w:rFonts w:ascii="Times New Roman" w:eastAsia="Times New Roman" w:hAnsi="Times New Roman" w:cs="Times New Roman"/>
      <w:i/>
      <w:iCs/>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33" w:lineRule="auto"/>
    </w:pPr>
    <w:rPr>
      <w:rFonts w:ascii="Arial" w:eastAsia="Arial" w:hAnsi="Arial" w:cs="Arial"/>
      <w:sz w:val="18"/>
      <w:szCs w:val="18"/>
    </w:rPr>
  </w:style>
  <w:style w:type="paragraph" w:customStyle="1" w:styleId="Vnbnnidung40">
    <w:name w:val="Văn bản nội dung (4)"/>
    <w:basedOn w:val="Normal"/>
    <w:link w:val="Vnbnnidung4"/>
    <w:pPr>
      <w:ind w:left="5200" w:firstLine="20"/>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u0plx2SLbhXnF8QJnyP4ucQ+EQ==">CgMxLjA4AHIhMXduVllfZ1Y0YWJhY3hfX2g2QkY3WXFMVVlCc0Q1b1c3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2024-04-22T07:13:00Z</dcterms:created>
  <dcterms:modified xsi:type="dcterms:W3CDTF">2024-04-24T04:56:00Z</dcterms:modified>
</cp:coreProperties>
</file>