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2B9687" w14:textId="77777777" w:rsidR="00B03E09" w:rsidRPr="00534079" w:rsidRDefault="0072483A" w:rsidP="00FF0CFF">
      <w:pPr>
        <w:pBdr>
          <w:top w:val="nil"/>
          <w:left w:val="nil"/>
          <w:bottom w:val="nil"/>
          <w:right w:val="nil"/>
          <w:between w:val="nil"/>
        </w:pBdr>
        <w:tabs>
          <w:tab w:val="left" w:pos="270"/>
          <w:tab w:val="left" w:pos="450"/>
        </w:tabs>
        <w:spacing w:after="120" w:line="360" w:lineRule="auto"/>
        <w:rPr>
          <w:rFonts w:ascii="Arial" w:eastAsia="Arial" w:hAnsi="Arial" w:cs="Arial"/>
          <w:b/>
          <w:color w:val="010000"/>
          <w:sz w:val="20"/>
          <w:szCs w:val="20"/>
        </w:rPr>
      </w:pPr>
      <w:bookmarkStart w:id="0" w:name="_GoBack"/>
      <w:bookmarkEnd w:id="0"/>
      <w:proofErr w:type="spellStart"/>
      <w:r w:rsidRPr="00534079">
        <w:rPr>
          <w:rFonts w:ascii="Arial" w:hAnsi="Arial" w:cs="Arial"/>
          <w:b/>
          <w:color w:val="010000"/>
          <w:sz w:val="20"/>
        </w:rPr>
        <w:t>PLA</w:t>
      </w:r>
      <w:proofErr w:type="spellEnd"/>
      <w:r w:rsidRPr="00534079">
        <w:rPr>
          <w:rFonts w:ascii="Arial" w:hAnsi="Arial" w:cs="Arial"/>
          <w:b/>
          <w:color w:val="010000"/>
          <w:sz w:val="20"/>
        </w:rPr>
        <w:t>: Annual General Mandate 2024</w:t>
      </w:r>
    </w:p>
    <w:p w14:paraId="1E3A97D4" w14:textId="39AE582C" w:rsidR="00B03E09" w:rsidRPr="00534079" w:rsidRDefault="0072483A" w:rsidP="00FF0CFF">
      <w:pPr>
        <w:pBdr>
          <w:top w:val="nil"/>
          <w:left w:val="nil"/>
          <w:bottom w:val="nil"/>
          <w:right w:val="nil"/>
          <w:between w:val="nil"/>
        </w:pBdr>
        <w:tabs>
          <w:tab w:val="left" w:pos="270"/>
          <w:tab w:val="left" w:pos="450"/>
        </w:tabs>
        <w:spacing w:after="120" w:line="360" w:lineRule="auto"/>
        <w:rPr>
          <w:rFonts w:ascii="Arial" w:eastAsia="Arial" w:hAnsi="Arial" w:cs="Arial"/>
          <w:color w:val="010000"/>
          <w:sz w:val="20"/>
          <w:szCs w:val="20"/>
        </w:rPr>
      </w:pPr>
      <w:r w:rsidRPr="00534079">
        <w:rPr>
          <w:rFonts w:ascii="Arial" w:hAnsi="Arial" w:cs="Arial"/>
          <w:color w:val="010000"/>
          <w:sz w:val="20"/>
        </w:rPr>
        <w:t xml:space="preserve">On April 16, 2024, Petroleum Logistic Service and Investment Joint Stock Company announced </w:t>
      </w:r>
      <w:r w:rsidR="00534079" w:rsidRPr="00534079">
        <w:rPr>
          <w:rFonts w:ascii="Arial" w:hAnsi="Arial" w:cs="Arial"/>
          <w:color w:val="010000"/>
          <w:sz w:val="20"/>
        </w:rPr>
        <w:t>General Mandate</w:t>
      </w:r>
      <w:r w:rsidRPr="00534079">
        <w:rPr>
          <w:rFonts w:ascii="Arial" w:hAnsi="Arial" w:cs="Arial"/>
          <w:color w:val="010000"/>
          <w:sz w:val="20"/>
        </w:rPr>
        <w:t xml:space="preserve"> No</w:t>
      </w:r>
      <w:r w:rsidR="00FF0CFF" w:rsidRPr="00534079">
        <w:rPr>
          <w:rFonts w:ascii="Arial" w:hAnsi="Arial" w:cs="Arial"/>
          <w:color w:val="010000"/>
          <w:sz w:val="20"/>
        </w:rPr>
        <w:t xml:space="preserve">. </w:t>
      </w:r>
      <w:r w:rsidRPr="00534079">
        <w:rPr>
          <w:rFonts w:ascii="Arial" w:hAnsi="Arial" w:cs="Arial"/>
          <w:color w:val="010000"/>
          <w:sz w:val="20"/>
        </w:rPr>
        <w:t>07/</w:t>
      </w:r>
      <w:proofErr w:type="spellStart"/>
      <w:r w:rsidRPr="00534079">
        <w:rPr>
          <w:rFonts w:ascii="Arial" w:hAnsi="Arial" w:cs="Arial"/>
          <w:color w:val="010000"/>
          <w:sz w:val="20"/>
        </w:rPr>
        <w:t>PLAND</w:t>
      </w:r>
      <w:proofErr w:type="spellEnd"/>
      <w:r w:rsidRPr="00534079">
        <w:rPr>
          <w:rFonts w:ascii="Arial" w:hAnsi="Arial" w:cs="Arial"/>
          <w:color w:val="010000"/>
          <w:sz w:val="20"/>
        </w:rPr>
        <w:t>-NQ-</w:t>
      </w:r>
      <w:proofErr w:type="spellStart"/>
      <w:r w:rsidRPr="00534079">
        <w:rPr>
          <w:rFonts w:ascii="Arial" w:hAnsi="Arial" w:cs="Arial"/>
          <w:color w:val="010000"/>
          <w:sz w:val="20"/>
        </w:rPr>
        <w:t>DHDCD</w:t>
      </w:r>
      <w:proofErr w:type="spellEnd"/>
      <w:r w:rsidRPr="00534079">
        <w:rPr>
          <w:rFonts w:ascii="Arial" w:hAnsi="Arial" w:cs="Arial"/>
          <w:color w:val="010000"/>
          <w:sz w:val="20"/>
        </w:rPr>
        <w:t xml:space="preserve"> as follows:</w:t>
      </w:r>
    </w:p>
    <w:p w14:paraId="3F08071A" w14:textId="68031946" w:rsidR="00B03E09" w:rsidRPr="00534079" w:rsidRDefault="0072483A" w:rsidP="00FF0CFF">
      <w:pPr>
        <w:pBdr>
          <w:top w:val="nil"/>
          <w:left w:val="nil"/>
          <w:bottom w:val="nil"/>
          <w:right w:val="nil"/>
          <w:between w:val="nil"/>
        </w:pBdr>
        <w:tabs>
          <w:tab w:val="left" w:pos="270"/>
          <w:tab w:val="left" w:pos="450"/>
        </w:tabs>
        <w:spacing w:after="120" w:line="360" w:lineRule="auto"/>
        <w:rPr>
          <w:rFonts w:ascii="Arial" w:eastAsia="Arial" w:hAnsi="Arial" w:cs="Arial"/>
          <w:color w:val="010000"/>
          <w:sz w:val="20"/>
          <w:szCs w:val="20"/>
        </w:rPr>
      </w:pPr>
      <w:r w:rsidRPr="00534079">
        <w:rPr>
          <w:rFonts w:ascii="Arial" w:hAnsi="Arial" w:cs="Arial"/>
          <w:color w:val="010000"/>
          <w:sz w:val="20"/>
        </w:rPr>
        <w:t xml:space="preserve">Article 1: </w:t>
      </w:r>
      <w:r w:rsidR="00FF0CFF" w:rsidRPr="00534079">
        <w:rPr>
          <w:rFonts w:ascii="Arial" w:hAnsi="Arial" w:cs="Arial"/>
          <w:color w:val="010000"/>
          <w:sz w:val="20"/>
        </w:rPr>
        <w:t xml:space="preserve">The </w:t>
      </w:r>
      <w:r w:rsidRPr="00534079">
        <w:rPr>
          <w:rFonts w:ascii="Arial" w:hAnsi="Arial" w:cs="Arial"/>
          <w:color w:val="010000"/>
          <w:sz w:val="20"/>
        </w:rPr>
        <w:t xml:space="preserve">Annual General Meeting of Shareholders 2024 </w:t>
      </w:r>
      <w:r w:rsidR="00FF0CFF" w:rsidRPr="00534079">
        <w:rPr>
          <w:rFonts w:ascii="Arial" w:hAnsi="Arial" w:cs="Arial"/>
          <w:color w:val="010000"/>
          <w:sz w:val="20"/>
        </w:rPr>
        <w:t xml:space="preserve">of </w:t>
      </w:r>
      <w:r w:rsidRPr="00534079">
        <w:rPr>
          <w:rFonts w:ascii="Arial" w:hAnsi="Arial" w:cs="Arial"/>
          <w:color w:val="010000"/>
          <w:sz w:val="20"/>
        </w:rPr>
        <w:t>Petroleum Logistic Service and Investment Joint Stock Company</w:t>
      </w:r>
      <w:r w:rsidR="00FF0CFF" w:rsidRPr="00534079">
        <w:rPr>
          <w:rFonts w:ascii="Arial" w:eastAsia="Arial" w:hAnsi="Arial" w:cs="Arial"/>
          <w:color w:val="010000"/>
          <w:sz w:val="20"/>
          <w:szCs w:val="20"/>
        </w:rPr>
        <w:t xml:space="preserve"> </w:t>
      </w:r>
      <w:r w:rsidRPr="00534079">
        <w:rPr>
          <w:rFonts w:ascii="Arial" w:hAnsi="Arial" w:cs="Arial"/>
          <w:color w:val="010000"/>
          <w:sz w:val="20"/>
        </w:rPr>
        <w:t>unanimously approve</w:t>
      </w:r>
      <w:r w:rsidR="00FF0CFF" w:rsidRPr="00534079">
        <w:rPr>
          <w:rFonts w:ascii="Arial" w:hAnsi="Arial" w:cs="Arial"/>
          <w:color w:val="010000"/>
          <w:sz w:val="20"/>
        </w:rPr>
        <w:t>s</w:t>
      </w:r>
      <w:r w:rsidRPr="00534079">
        <w:rPr>
          <w:rFonts w:ascii="Arial" w:hAnsi="Arial" w:cs="Arial"/>
          <w:color w:val="010000"/>
          <w:sz w:val="20"/>
        </w:rPr>
        <w:t xml:space="preserve"> the following contents (details in attached contents):</w:t>
      </w:r>
    </w:p>
    <w:p w14:paraId="32055766" w14:textId="66CA32FF" w:rsidR="00B03E09" w:rsidRPr="00534079" w:rsidRDefault="0072483A" w:rsidP="00FF0CFF">
      <w:pPr>
        <w:pStyle w:val="ListParagraph"/>
        <w:numPr>
          <w:ilvl w:val="0"/>
          <w:numId w:val="12"/>
        </w:numPr>
        <w:pBdr>
          <w:top w:val="nil"/>
          <w:left w:val="nil"/>
          <w:bottom w:val="nil"/>
          <w:right w:val="nil"/>
          <w:between w:val="nil"/>
        </w:pBdr>
        <w:tabs>
          <w:tab w:val="left" w:pos="270"/>
          <w:tab w:val="left" w:pos="450"/>
        </w:tabs>
        <w:spacing w:after="120" w:line="360" w:lineRule="auto"/>
        <w:ind w:left="0" w:firstLine="0"/>
        <w:rPr>
          <w:rFonts w:ascii="Arial" w:eastAsia="Arial" w:hAnsi="Arial" w:cs="Arial"/>
          <w:color w:val="010000"/>
          <w:sz w:val="20"/>
          <w:szCs w:val="20"/>
        </w:rPr>
      </w:pPr>
      <w:r w:rsidRPr="00534079">
        <w:rPr>
          <w:rFonts w:ascii="Arial" w:hAnsi="Arial" w:cs="Arial"/>
          <w:color w:val="010000"/>
          <w:sz w:val="20"/>
        </w:rPr>
        <w:t>Report on the production and business results</w:t>
      </w:r>
      <w:r w:rsidR="00FF0CFF" w:rsidRPr="00534079">
        <w:rPr>
          <w:rFonts w:ascii="Arial" w:hAnsi="Arial" w:cs="Arial"/>
          <w:color w:val="010000"/>
          <w:sz w:val="20"/>
        </w:rPr>
        <w:t xml:space="preserve"> in</w:t>
      </w:r>
      <w:r w:rsidRPr="00534079">
        <w:rPr>
          <w:rFonts w:ascii="Arial" w:hAnsi="Arial" w:cs="Arial"/>
          <w:color w:val="010000"/>
          <w:sz w:val="20"/>
        </w:rPr>
        <w:t xml:space="preserve"> 2023 with some basic </w:t>
      </w:r>
      <w:r w:rsidR="00FF0CFF" w:rsidRPr="00534079">
        <w:rPr>
          <w:rFonts w:ascii="Arial" w:hAnsi="Arial" w:cs="Arial"/>
          <w:color w:val="010000"/>
          <w:sz w:val="20"/>
        </w:rPr>
        <w:t>targets</w:t>
      </w:r>
      <w:r w:rsidRPr="00534079">
        <w:rPr>
          <w:rFonts w:ascii="Arial" w:hAnsi="Arial" w:cs="Arial"/>
          <w:color w:val="010000"/>
          <w:sz w:val="20"/>
        </w:rPr>
        <w:t xml:space="preserve"> as follows:</w:t>
      </w:r>
    </w:p>
    <w:p w14:paraId="11F6AD90" w14:textId="292C7CFC" w:rsidR="00B03E09" w:rsidRPr="00534079" w:rsidRDefault="0072483A" w:rsidP="00FF0CFF">
      <w:pPr>
        <w:numPr>
          <w:ilvl w:val="0"/>
          <w:numId w:val="2"/>
        </w:numPr>
        <w:pBdr>
          <w:top w:val="nil"/>
          <w:left w:val="nil"/>
          <w:bottom w:val="nil"/>
          <w:right w:val="nil"/>
          <w:between w:val="nil"/>
        </w:pBdr>
        <w:tabs>
          <w:tab w:val="left" w:pos="270"/>
          <w:tab w:val="left" w:pos="450"/>
        </w:tabs>
        <w:spacing w:after="120" w:line="360" w:lineRule="auto"/>
        <w:rPr>
          <w:rFonts w:ascii="Arial" w:eastAsia="Arial" w:hAnsi="Arial" w:cs="Arial"/>
          <w:color w:val="010000"/>
          <w:sz w:val="20"/>
          <w:szCs w:val="20"/>
        </w:rPr>
      </w:pPr>
      <w:r w:rsidRPr="00534079">
        <w:rPr>
          <w:rFonts w:ascii="Arial" w:hAnsi="Arial" w:cs="Arial"/>
          <w:color w:val="010000"/>
          <w:sz w:val="20"/>
        </w:rPr>
        <w:t xml:space="preserve">Total revenue, income: </w:t>
      </w:r>
      <w:proofErr w:type="spellStart"/>
      <w:r w:rsidRPr="00534079">
        <w:rPr>
          <w:rFonts w:ascii="Arial" w:hAnsi="Arial" w:cs="Arial"/>
          <w:color w:val="010000"/>
          <w:sz w:val="20"/>
        </w:rPr>
        <w:t>VND</w:t>
      </w:r>
      <w:proofErr w:type="spellEnd"/>
      <w:r w:rsidRPr="00534079">
        <w:rPr>
          <w:rFonts w:ascii="Arial" w:hAnsi="Arial" w:cs="Arial"/>
          <w:color w:val="010000"/>
          <w:sz w:val="20"/>
        </w:rPr>
        <w:t xml:space="preserve"> 57,681 </w:t>
      </w:r>
      <w:r w:rsidR="00FF0CFF" w:rsidRPr="00534079">
        <w:rPr>
          <w:rFonts w:ascii="Arial" w:hAnsi="Arial" w:cs="Arial"/>
          <w:color w:val="010000"/>
          <w:sz w:val="20"/>
        </w:rPr>
        <w:t>million</w:t>
      </w:r>
      <w:r w:rsidRPr="00534079">
        <w:rPr>
          <w:rFonts w:ascii="Arial" w:hAnsi="Arial" w:cs="Arial"/>
          <w:color w:val="010000"/>
          <w:sz w:val="20"/>
        </w:rPr>
        <w:t>.</w:t>
      </w:r>
    </w:p>
    <w:p w14:paraId="3F6D280F" w14:textId="5D24100E" w:rsidR="00B03E09" w:rsidRPr="00534079" w:rsidRDefault="0072483A" w:rsidP="00FF0CFF">
      <w:pPr>
        <w:numPr>
          <w:ilvl w:val="0"/>
          <w:numId w:val="2"/>
        </w:numPr>
        <w:pBdr>
          <w:top w:val="nil"/>
          <w:left w:val="nil"/>
          <w:bottom w:val="nil"/>
          <w:right w:val="nil"/>
          <w:between w:val="nil"/>
        </w:pBdr>
        <w:tabs>
          <w:tab w:val="left" w:pos="270"/>
          <w:tab w:val="left" w:pos="450"/>
        </w:tabs>
        <w:spacing w:after="120" w:line="360" w:lineRule="auto"/>
        <w:rPr>
          <w:rFonts w:ascii="Arial" w:eastAsia="Arial" w:hAnsi="Arial" w:cs="Arial"/>
          <w:color w:val="010000"/>
          <w:sz w:val="20"/>
          <w:szCs w:val="20"/>
        </w:rPr>
      </w:pPr>
      <w:r w:rsidRPr="00534079">
        <w:rPr>
          <w:rFonts w:ascii="Arial" w:hAnsi="Arial" w:cs="Arial"/>
          <w:color w:val="010000"/>
          <w:sz w:val="20"/>
        </w:rPr>
        <w:t xml:space="preserve">Profit before tax: </w:t>
      </w:r>
      <w:proofErr w:type="spellStart"/>
      <w:r w:rsidRPr="00534079">
        <w:rPr>
          <w:rFonts w:ascii="Arial" w:hAnsi="Arial" w:cs="Arial"/>
          <w:color w:val="010000"/>
          <w:sz w:val="20"/>
        </w:rPr>
        <w:t>VND</w:t>
      </w:r>
      <w:proofErr w:type="spellEnd"/>
      <w:r w:rsidRPr="00534079">
        <w:rPr>
          <w:rFonts w:ascii="Arial" w:hAnsi="Arial" w:cs="Arial"/>
          <w:color w:val="010000"/>
          <w:sz w:val="20"/>
        </w:rPr>
        <w:t xml:space="preserve"> 968 </w:t>
      </w:r>
      <w:r w:rsidR="00FF0CFF" w:rsidRPr="00534079">
        <w:rPr>
          <w:rFonts w:ascii="Arial" w:hAnsi="Arial" w:cs="Arial"/>
          <w:color w:val="010000"/>
          <w:sz w:val="20"/>
        </w:rPr>
        <w:t>million</w:t>
      </w:r>
      <w:r w:rsidRPr="00534079">
        <w:rPr>
          <w:rFonts w:ascii="Arial" w:hAnsi="Arial" w:cs="Arial"/>
          <w:color w:val="010000"/>
          <w:sz w:val="20"/>
        </w:rPr>
        <w:t>.</w:t>
      </w:r>
    </w:p>
    <w:p w14:paraId="59A68A82" w14:textId="77777777" w:rsidR="00B03E09" w:rsidRPr="00534079" w:rsidRDefault="0072483A" w:rsidP="00FF0CFF">
      <w:pPr>
        <w:numPr>
          <w:ilvl w:val="0"/>
          <w:numId w:val="2"/>
        </w:numPr>
        <w:pBdr>
          <w:top w:val="nil"/>
          <w:left w:val="nil"/>
          <w:bottom w:val="nil"/>
          <w:right w:val="nil"/>
          <w:between w:val="nil"/>
        </w:pBdr>
        <w:tabs>
          <w:tab w:val="left" w:pos="270"/>
          <w:tab w:val="left" w:pos="450"/>
        </w:tabs>
        <w:spacing w:after="120" w:line="360" w:lineRule="auto"/>
        <w:rPr>
          <w:rFonts w:ascii="Arial" w:eastAsia="Arial" w:hAnsi="Arial" w:cs="Arial"/>
          <w:color w:val="010000"/>
          <w:sz w:val="20"/>
          <w:szCs w:val="20"/>
        </w:rPr>
      </w:pPr>
      <w:r w:rsidRPr="00534079">
        <w:rPr>
          <w:rFonts w:ascii="Arial" w:hAnsi="Arial" w:cs="Arial"/>
          <w:color w:val="010000"/>
          <w:sz w:val="20"/>
        </w:rPr>
        <w:t xml:space="preserve">Profit after tax: </w:t>
      </w:r>
      <w:proofErr w:type="spellStart"/>
      <w:r w:rsidRPr="00534079">
        <w:rPr>
          <w:rFonts w:ascii="Arial" w:hAnsi="Arial" w:cs="Arial"/>
          <w:color w:val="010000"/>
          <w:sz w:val="20"/>
        </w:rPr>
        <w:t>VND</w:t>
      </w:r>
      <w:proofErr w:type="spellEnd"/>
      <w:r w:rsidRPr="00534079">
        <w:rPr>
          <w:rFonts w:ascii="Arial" w:hAnsi="Arial" w:cs="Arial"/>
          <w:color w:val="010000"/>
          <w:sz w:val="20"/>
        </w:rPr>
        <w:t xml:space="preserve"> 381 million;</w:t>
      </w:r>
    </w:p>
    <w:p w14:paraId="651C8CDE" w14:textId="77777777" w:rsidR="00B03E09" w:rsidRPr="00534079" w:rsidRDefault="0072483A" w:rsidP="00FF0CFF">
      <w:pPr>
        <w:pBdr>
          <w:top w:val="nil"/>
          <w:left w:val="nil"/>
          <w:bottom w:val="nil"/>
          <w:right w:val="nil"/>
          <w:between w:val="nil"/>
        </w:pBdr>
        <w:tabs>
          <w:tab w:val="left" w:pos="270"/>
          <w:tab w:val="left" w:pos="450"/>
        </w:tabs>
        <w:spacing w:after="120" w:line="360" w:lineRule="auto"/>
        <w:rPr>
          <w:rFonts w:ascii="Arial" w:eastAsia="Arial" w:hAnsi="Arial" w:cs="Arial"/>
          <w:color w:val="010000"/>
          <w:sz w:val="20"/>
          <w:szCs w:val="20"/>
        </w:rPr>
      </w:pPr>
      <w:r w:rsidRPr="00534079">
        <w:rPr>
          <w:rFonts w:ascii="Arial" w:hAnsi="Arial" w:cs="Arial"/>
          <w:color w:val="010000"/>
          <w:sz w:val="20"/>
        </w:rPr>
        <w:t>Production and business plan 2024 with some basic targets as follows:</w:t>
      </w:r>
    </w:p>
    <w:p w14:paraId="13551338" w14:textId="77777777" w:rsidR="00B03E09" w:rsidRPr="00534079" w:rsidRDefault="0072483A" w:rsidP="00FF0CFF">
      <w:pPr>
        <w:numPr>
          <w:ilvl w:val="0"/>
          <w:numId w:val="2"/>
        </w:numPr>
        <w:pBdr>
          <w:top w:val="nil"/>
          <w:left w:val="nil"/>
          <w:bottom w:val="nil"/>
          <w:right w:val="nil"/>
          <w:between w:val="nil"/>
        </w:pBdr>
        <w:tabs>
          <w:tab w:val="left" w:pos="270"/>
          <w:tab w:val="left" w:pos="379"/>
          <w:tab w:val="left" w:pos="450"/>
        </w:tabs>
        <w:spacing w:after="120" w:line="360" w:lineRule="auto"/>
        <w:rPr>
          <w:rFonts w:ascii="Arial" w:eastAsia="Arial" w:hAnsi="Arial" w:cs="Arial"/>
          <w:color w:val="010000"/>
          <w:sz w:val="20"/>
          <w:szCs w:val="20"/>
        </w:rPr>
      </w:pPr>
      <w:r w:rsidRPr="00534079">
        <w:rPr>
          <w:rFonts w:ascii="Arial" w:hAnsi="Arial" w:cs="Arial"/>
          <w:color w:val="010000"/>
          <w:sz w:val="20"/>
        </w:rPr>
        <w:t xml:space="preserve">Total revenue, income: </w:t>
      </w:r>
      <w:proofErr w:type="spellStart"/>
      <w:r w:rsidRPr="00534079">
        <w:rPr>
          <w:rFonts w:ascii="Arial" w:hAnsi="Arial" w:cs="Arial"/>
          <w:color w:val="010000"/>
          <w:sz w:val="20"/>
        </w:rPr>
        <w:t>VND</w:t>
      </w:r>
      <w:proofErr w:type="spellEnd"/>
      <w:r w:rsidRPr="00534079">
        <w:rPr>
          <w:rFonts w:ascii="Arial" w:hAnsi="Arial" w:cs="Arial"/>
          <w:color w:val="010000"/>
          <w:sz w:val="20"/>
        </w:rPr>
        <w:t xml:space="preserve"> 45,844 million;</w:t>
      </w:r>
    </w:p>
    <w:p w14:paraId="41CEF468" w14:textId="77777777" w:rsidR="00B03E09" w:rsidRPr="00534079" w:rsidRDefault="0072483A" w:rsidP="00FF0CFF">
      <w:pPr>
        <w:numPr>
          <w:ilvl w:val="0"/>
          <w:numId w:val="2"/>
        </w:numPr>
        <w:pBdr>
          <w:top w:val="nil"/>
          <w:left w:val="nil"/>
          <w:bottom w:val="nil"/>
          <w:right w:val="nil"/>
          <w:between w:val="nil"/>
        </w:pBdr>
        <w:tabs>
          <w:tab w:val="left" w:pos="270"/>
          <w:tab w:val="left" w:pos="379"/>
          <w:tab w:val="left" w:pos="450"/>
        </w:tabs>
        <w:spacing w:after="120" w:line="360" w:lineRule="auto"/>
        <w:rPr>
          <w:rFonts w:ascii="Arial" w:eastAsia="Arial" w:hAnsi="Arial" w:cs="Arial"/>
          <w:color w:val="010000"/>
          <w:sz w:val="20"/>
          <w:szCs w:val="20"/>
        </w:rPr>
      </w:pPr>
      <w:r w:rsidRPr="00534079">
        <w:rPr>
          <w:rFonts w:ascii="Arial" w:hAnsi="Arial" w:cs="Arial"/>
          <w:color w:val="010000"/>
          <w:sz w:val="20"/>
        </w:rPr>
        <w:t xml:space="preserve">Profit before tax: </w:t>
      </w:r>
      <w:proofErr w:type="spellStart"/>
      <w:r w:rsidRPr="00534079">
        <w:rPr>
          <w:rFonts w:ascii="Arial" w:hAnsi="Arial" w:cs="Arial"/>
          <w:color w:val="010000"/>
          <w:sz w:val="20"/>
        </w:rPr>
        <w:t>VND</w:t>
      </w:r>
      <w:proofErr w:type="spellEnd"/>
      <w:r w:rsidRPr="00534079">
        <w:rPr>
          <w:rFonts w:ascii="Arial" w:hAnsi="Arial" w:cs="Arial"/>
          <w:color w:val="010000"/>
          <w:sz w:val="20"/>
        </w:rPr>
        <w:t xml:space="preserve"> 518 million;</w:t>
      </w:r>
    </w:p>
    <w:p w14:paraId="3B8301F0" w14:textId="77777777" w:rsidR="00B03E09" w:rsidRPr="00534079" w:rsidRDefault="0072483A" w:rsidP="00FF0CFF">
      <w:pPr>
        <w:numPr>
          <w:ilvl w:val="0"/>
          <w:numId w:val="2"/>
        </w:numPr>
        <w:pBdr>
          <w:top w:val="nil"/>
          <w:left w:val="nil"/>
          <w:bottom w:val="nil"/>
          <w:right w:val="nil"/>
          <w:between w:val="nil"/>
        </w:pBdr>
        <w:tabs>
          <w:tab w:val="left" w:pos="270"/>
          <w:tab w:val="left" w:pos="379"/>
          <w:tab w:val="left" w:pos="450"/>
        </w:tabs>
        <w:spacing w:after="120" w:line="360" w:lineRule="auto"/>
        <w:rPr>
          <w:rFonts w:ascii="Arial" w:eastAsia="Arial" w:hAnsi="Arial" w:cs="Arial"/>
          <w:color w:val="010000"/>
          <w:sz w:val="20"/>
          <w:szCs w:val="20"/>
        </w:rPr>
      </w:pPr>
      <w:r w:rsidRPr="00534079">
        <w:rPr>
          <w:rFonts w:ascii="Arial" w:hAnsi="Arial" w:cs="Arial"/>
          <w:color w:val="010000"/>
          <w:sz w:val="20"/>
        </w:rPr>
        <w:t xml:space="preserve">Profit after tax: </w:t>
      </w:r>
      <w:proofErr w:type="spellStart"/>
      <w:r w:rsidRPr="00534079">
        <w:rPr>
          <w:rFonts w:ascii="Arial" w:hAnsi="Arial" w:cs="Arial"/>
          <w:color w:val="010000"/>
          <w:sz w:val="20"/>
        </w:rPr>
        <w:t>VND</w:t>
      </w:r>
      <w:proofErr w:type="spellEnd"/>
      <w:r w:rsidRPr="00534079">
        <w:rPr>
          <w:rFonts w:ascii="Arial" w:hAnsi="Arial" w:cs="Arial"/>
          <w:color w:val="010000"/>
          <w:sz w:val="20"/>
        </w:rPr>
        <w:t xml:space="preserve"> 68 million;</w:t>
      </w:r>
    </w:p>
    <w:p w14:paraId="2BEE2AF5" w14:textId="77777777" w:rsidR="00B03E09" w:rsidRPr="00534079" w:rsidRDefault="0072483A" w:rsidP="00FF0CFF">
      <w:pPr>
        <w:numPr>
          <w:ilvl w:val="0"/>
          <w:numId w:val="10"/>
        </w:numPr>
        <w:pBdr>
          <w:top w:val="nil"/>
          <w:left w:val="nil"/>
          <w:bottom w:val="nil"/>
          <w:right w:val="nil"/>
          <w:between w:val="nil"/>
        </w:pBdr>
        <w:tabs>
          <w:tab w:val="left" w:pos="270"/>
          <w:tab w:val="left" w:pos="450"/>
        </w:tabs>
        <w:spacing w:after="120" w:line="360" w:lineRule="auto"/>
        <w:rPr>
          <w:rFonts w:ascii="Arial" w:hAnsi="Arial" w:cs="Arial"/>
          <w:color w:val="010000"/>
          <w:sz w:val="20"/>
          <w:szCs w:val="20"/>
        </w:rPr>
      </w:pPr>
      <w:r w:rsidRPr="00534079">
        <w:rPr>
          <w:rFonts w:ascii="Arial" w:hAnsi="Arial" w:cs="Arial"/>
          <w:color w:val="010000"/>
          <w:sz w:val="20"/>
        </w:rPr>
        <w:t>Report on the operation of the Board of Directors in 2023 and operational orientation in 2024. Authorize the Board of Directors to actively adjust the plan to suit the actual situation.</w:t>
      </w:r>
    </w:p>
    <w:p w14:paraId="6AF2B984" w14:textId="77777777" w:rsidR="00B03E09" w:rsidRPr="00534079" w:rsidRDefault="0072483A" w:rsidP="00FF0CFF">
      <w:pPr>
        <w:numPr>
          <w:ilvl w:val="0"/>
          <w:numId w:val="10"/>
        </w:numPr>
        <w:pBdr>
          <w:top w:val="nil"/>
          <w:left w:val="nil"/>
          <w:bottom w:val="nil"/>
          <w:right w:val="nil"/>
          <w:between w:val="nil"/>
        </w:pBdr>
        <w:tabs>
          <w:tab w:val="left" w:pos="270"/>
          <w:tab w:val="left" w:pos="450"/>
        </w:tabs>
        <w:spacing w:after="120" w:line="360" w:lineRule="auto"/>
        <w:rPr>
          <w:rFonts w:ascii="Arial" w:hAnsi="Arial" w:cs="Arial"/>
          <w:color w:val="010000"/>
          <w:sz w:val="20"/>
          <w:szCs w:val="20"/>
        </w:rPr>
      </w:pPr>
      <w:r w:rsidRPr="00534079">
        <w:rPr>
          <w:rFonts w:ascii="Arial" w:hAnsi="Arial" w:cs="Arial"/>
          <w:color w:val="010000"/>
          <w:sz w:val="20"/>
        </w:rPr>
        <w:t>The Financial Statement 2023 audited by CPA Vietnam Auditing Company Limited;</w:t>
      </w:r>
    </w:p>
    <w:p w14:paraId="7CC3E5D9" w14:textId="77777777" w:rsidR="00B03E09" w:rsidRPr="00534079" w:rsidRDefault="0072483A" w:rsidP="00FF0CFF">
      <w:pPr>
        <w:numPr>
          <w:ilvl w:val="0"/>
          <w:numId w:val="10"/>
        </w:numPr>
        <w:pBdr>
          <w:top w:val="nil"/>
          <w:left w:val="nil"/>
          <w:bottom w:val="nil"/>
          <w:right w:val="nil"/>
          <w:between w:val="nil"/>
        </w:pBdr>
        <w:tabs>
          <w:tab w:val="left" w:pos="270"/>
          <w:tab w:val="left" w:pos="450"/>
        </w:tabs>
        <w:spacing w:after="120" w:line="360" w:lineRule="auto"/>
        <w:rPr>
          <w:rFonts w:ascii="Arial" w:hAnsi="Arial" w:cs="Arial"/>
          <w:color w:val="010000"/>
          <w:sz w:val="20"/>
          <w:szCs w:val="20"/>
        </w:rPr>
      </w:pPr>
      <w:r w:rsidRPr="00534079">
        <w:rPr>
          <w:rFonts w:ascii="Arial" w:hAnsi="Arial" w:cs="Arial"/>
          <w:color w:val="010000"/>
          <w:sz w:val="20"/>
        </w:rPr>
        <w:t>Report on activities of the Supervisory Board in 2023</w:t>
      </w:r>
    </w:p>
    <w:p w14:paraId="0255C16D" w14:textId="77777777" w:rsidR="00B03E09" w:rsidRPr="00534079" w:rsidRDefault="0072483A" w:rsidP="00FF0CFF">
      <w:pPr>
        <w:numPr>
          <w:ilvl w:val="0"/>
          <w:numId w:val="10"/>
        </w:numPr>
        <w:pBdr>
          <w:top w:val="nil"/>
          <w:left w:val="nil"/>
          <w:bottom w:val="nil"/>
          <w:right w:val="nil"/>
          <w:between w:val="nil"/>
        </w:pBdr>
        <w:tabs>
          <w:tab w:val="left" w:pos="270"/>
          <w:tab w:val="left" w:pos="450"/>
        </w:tabs>
        <w:spacing w:after="120" w:line="360" w:lineRule="auto"/>
        <w:rPr>
          <w:rFonts w:ascii="Arial" w:hAnsi="Arial" w:cs="Arial"/>
          <w:color w:val="010000"/>
          <w:sz w:val="20"/>
          <w:szCs w:val="20"/>
        </w:rPr>
      </w:pPr>
      <w:r w:rsidRPr="00534079">
        <w:rPr>
          <w:rFonts w:ascii="Arial" w:hAnsi="Arial" w:cs="Arial"/>
          <w:color w:val="010000"/>
          <w:sz w:val="20"/>
        </w:rPr>
        <w:t>Proposal on the selection of an audit company for the Financial Statements 2024:</w:t>
      </w:r>
    </w:p>
    <w:p w14:paraId="2EEA355C" w14:textId="77777777" w:rsidR="00B03E09" w:rsidRPr="00534079" w:rsidRDefault="0072483A" w:rsidP="00FF0CFF">
      <w:pPr>
        <w:numPr>
          <w:ilvl w:val="0"/>
          <w:numId w:val="10"/>
        </w:numPr>
        <w:pBdr>
          <w:top w:val="nil"/>
          <w:left w:val="nil"/>
          <w:bottom w:val="nil"/>
          <w:right w:val="nil"/>
          <w:between w:val="nil"/>
        </w:pBdr>
        <w:tabs>
          <w:tab w:val="left" w:pos="270"/>
          <w:tab w:val="left" w:pos="450"/>
        </w:tabs>
        <w:spacing w:after="120" w:line="360" w:lineRule="auto"/>
        <w:rPr>
          <w:rFonts w:ascii="Arial" w:hAnsi="Arial" w:cs="Arial"/>
          <w:color w:val="010000"/>
          <w:sz w:val="20"/>
          <w:szCs w:val="20"/>
        </w:rPr>
      </w:pPr>
      <w:r w:rsidRPr="00534079">
        <w:rPr>
          <w:rFonts w:ascii="Arial" w:hAnsi="Arial" w:cs="Arial"/>
          <w:color w:val="010000"/>
          <w:sz w:val="20"/>
        </w:rPr>
        <w:t>Proposal on the profit distribution plan in 2023;</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90"/>
        <w:gridCol w:w="6029"/>
        <w:gridCol w:w="2298"/>
      </w:tblGrid>
      <w:tr w:rsidR="00B03E09" w:rsidRPr="00534079" w14:paraId="3D4BA4EB" w14:textId="77777777" w:rsidTr="0072483A">
        <w:tc>
          <w:tcPr>
            <w:tcW w:w="383" w:type="pct"/>
            <w:shd w:val="clear" w:color="auto" w:fill="auto"/>
            <w:tcMar>
              <w:top w:w="0" w:type="dxa"/>
              <w:bottom w:w="0" w:type="dxa"/>
            </w:tcMar>
            <w:vAlign w:val="center"/>
          </w:tcPr>
          <w:p w14:paraId="6A0DDE31" w14:textId="77777777" w:rsidR="00B03E09" w:rsidRPr="00534079" w:rsidRDefault="0072483A" w:rsidP="00FF0CFF">
            <w:pPr>
              <w:pBdr>
                <w:top w:val="nil"/>
                <w:left w:val="nil"/>
                <w:bottom w:val="nil"/>
                <w:right w:val="nil"/>
                <w:between w:val="nil"/>
              </w:pBdr>
              <w:tabs>
                <w:tab w:val="left" w:pos="270"/>
                <w:tab w:val="left" w:pos="450"/>
              </w:tabs>
              <w:spacing w:after="120" w:line="360" w:lineRule="auto"/>
              <w:rPr>
                <w:rFonts w:ascii="Arial" w:eastAsia="Arial" w:hAnsi="Arial" w:cs="Arial"/>
                <w:color w:val="010000"/>
                <w:sz w:val="20"/>
                <w:szCs w:val="20"/>
              </w:rPr>
            </w:pPr>
            <w:r w:rsidRPr="00534079">
              <w:rPr>
                <w:rFonts w:ascii="Arial" w:hAnsi="Arial" w:cs="Arial"/>
                <w:color w:val="010000"/>
                <w:sz w:val="20"/>
              </w:rPr>
              <w:t>No.</w:t>
            </w:r>
          </w:p>
        </w:tc>
        <w:tc>
          <w:tcPr>
            <w:tcW w:w="3343" w:type="pct"/>
            <w:shd w:val="clear" w:color="auto" w:fill="auto"/>
            <w:tcMar>
              <w:top w:w="0" w:type="dxa"/>
              <w:bottom w:w="0" w:type="dxa"/>
            </w:tcMar>
            <w:vAlign w:val="center"/>
          </w:tcPr>
          <w:p w14:paraId="3111F17E" w14:textId="77777777" w:rsidR="00B03E09" w:rsidRPr="00534079" w:rsidRDefault="0072483A" w:rsidP="00FF0CFF">
            <w:pPr>
              <w:pBdr>
                <w:top w:val="nil"/>
                <w:left w:val="nil"/>
                <w:bottom w:val="nil"/>
                <w:right w:val="nil"/>
                <w:between w:val="nil"/>
              </w:pBdr>
              <w:tabs>
                <w:tab w:val="left" w:pos="270"/>
                <w:tab w:val="left" w:pos="450"/>
              </w:tabs>
              <w:spacing w:after="120" w:line="360" w:lineRule="auto"/>
              <w:rPr>
                <w:rFonts w:ascii="Arial" w:eastAsia="Arial" w:hAnsi="Arial" w:cs="Arial"/>
                <w:color w:val="010000"/>
                <w:sz w:val="20"/>
                <w:szCs w:val="20"/>
              </w:rPr>
            </w:pPr>
            <w:r w:rsidRPr="00534079">
              <w:rPr>
                <w:rFonts w:ascii="Arial" w:hAnsi="Arial" w:cs="Arial"/>
                <w:color w:val="010000"/>
                <w:sz w:val="20"/>
              </w:rPr>
              <w:t>Target</w:t>
            </w:r>
          </w:p>
        </w:tc>
        <w:tc>
          <w:tcPr>
            <w:tcW w:w="1274" w:type="pct"/>
            <w:shd w:val="clear" w:color="auto" w:fill="auto"/>
            <w:tcMar>
              <w:top w:w="0" w:type="dxa"/>
              <w:bottom w:w="0" w:type="dxa"/>
            </w:tcMar>
            <w:vAlign w:val="center"/>
          </w:tcPr>
          <w:p w14:paraId="186A33A3" w14:textId="77777777" w:rsidR="00B03E09" w:rsidRPr="00534079" w:rsidRDefault="0072483A" w:rsidP="00FF0CFF">
            <w:pPr>
              <w:pBdr>
                <w:top w:val="nil"/>
                <w:left w:val="nil"/>
                <w:bottom w:val="nil"/>
                <w:right w:val="nil"/>
                <w:between w:val="nil"/>
              </w:pBdr>
              <w:tabs>
                <w:tab w:val="left" w:pos="270"/>
                <w:tab w:val="left" w:pos="450"/>
              </w:tabs>
              <w:spacing w:after="120" w:line="360" w:lineRule="auto"/>
              <w:rPr>
                <w:rFonts w:ascii="Arial" w:eastAsia="Arial" w:hAnsi="Arial" w:cs="Arial"/>
                <w:color w:val="010000"/>
                <w:sz w:val="20"/>
                <w:szCs w:val="20"/>
              </w:rPr>
            </w:pPr>
            <w:r w:rsidRPr="00534079">
              <w:rPr>
                <w:rFonts w:ascii="Arial" w:hAnsi="Arial" w:cs="Arial"/>
                <w:color w:val="010000"/>
                <w:sz w:val="20"/>
              </w:rPr>
              <w:t>Amount</w:t>
            </w:r>
          </w:p>
        </w:tc>
      </w:tr>
      <w:tr w:rsidR="00B03E09" w:rsidRPr="00534079" w14:paraId="0CF14CA1" w14:textId="77777777" w:rsidTr="0072483A">
        <w:tc>
          <w:tcPr>
            <w:tcW w:w="383" w:type="pct"/>
            <w:shd w:val="clear" w:color="auto" w:fill="auto"/>
            <w:tcMar>
              <w:top w:w="0" w:type="dxa"/>
              <w:bottom w:w="0" w:type="dxa"/>
            </w:tcMar>
            <w:vAlign w:val="center"/>
          </w:tcPr>
          <w:p w14:paraId="1A02A7C3" w14:textId="77777777" w:rsidR="00B03E09" w:rsidRPr="00534079" w:rsidRDefault="0072483A" w:rsidP="00FF0CFF">
            <w:pPr>
              <w:pBdr>
                <w:top w:val="nil"/>
                <w:left w:val="nil"/>
                <w:bottom w:val="nil"/>
                <w:right w:val="nil"/>
                <w:between w:val="nil"/>
              </w:pBdr>
              <w:tabs>
                <w:tab w:val="left" w:pos="270"/>
                <w:tab w:val="left" w:pos="450"/>
              </w:tabs>
              <w:spacing w:after="120" w:line="360" w:lineRule="auto"/>
              <w:rPr>
                <w:rFonts w:ascii="Arial" w:eastAsia="Arial" w:hAnsi="Arial" w:cs="Arial"/>
                <w:color w:val="010000"/>
                <w:sz w:val="20"/>
                <w:szCs w:val="20"/>
              </w:rPr>
            </w:pPr>
            <w:r w:rsidRPr="00534079">
              <w:rPr>
                <w:rFonts w:ascii="Arial" w:hAnsi="Arial" w:cs="Arial"/>
                <w:color w:val="010000"/>
                <w:sz w:val="20"/>
              </w:rPr>
              <w:t>1</w:t>
            </w:r>
          </w:p>
        </w:tc>
        <w:tc>
          <w:tcPr>
            <w:tcW w:w="3343" w:type="pct"/>
            <w:shd w:val="clear" w:color="auto" w:fill="auto"/>
            <w:tcMar>
              <w:top w:w="0" w:type="dxa"/>
              <w:bottom w:w="0" w:type="dxa"/>
            </w:tcMar>
            <w:vAlign w:val="center"/>
          </w:tcPr>
          <w:p w14:paraId="72EA95E4" w14:textId="77777777" w:rsidR="00B03E09" w:rsidRPr="00534079" w:rsidRDefault="0072483A" w:rsidP="00FF0CFF">
            <w:pPr>
              <w:pBdr>
                <w:top w:val="nil"/>
                <w:left w:val="nil"/>
                <w:bottom w:val="nil"/>
                <w:right w:val="nil"/>
                <w:between w:val="nil"/>
              </w:pBdr>
              <w:tabs>
                <w:tab w:val="left" w:pos="270"/>
                <w:tab w:val="left" w:pos="450"/>
              </w:tabs>
              <w:spacing w:after="120" w:line="360" w:lineRule="auto"/>
              <w:rPr>
                <w:rFonts w:ascii="Arial" w:eastAsia="Arial" w:hAnsi="Arial" w:cs="Arial"/>
                <w:color w:val="010000"/>
                <w:sz w:val="20"/>
                <w:szCs w:val="20"/>
              </w:rPr>
            </w:pPr>
            <w:r w:rsidRPr="00534079">
              <w:rPr>
                <w:rFonts w:ascii="Arial" w:hAnsi="Arial" w:cs="Arial"/>
                <w:color w:val="010000"/>
                <w:sz w:val="20"/>
              </w:rPr>
              <w:t>Consolidated profit after tax in 2023</w:t>
            </w:r>
          </w:p>
        </w:tc>
        <w:tc>
          <w:tcPr>
            <w:tcW w:w="1274" w:type="pct"/>
            <w:shd w:val="clear" w:color="auto" w:fill="auto"/>
            <w:tcMar>
              <w:top w:w="0" w:type="dxa"/>
              <w:bottom w:w="0" w:type="dxa"/>
            </w:tcMar>
            <w:vAlign w:val="center"/>
          </w:tcPr>
          <w:p w14:paraId="2C85328E" w14:textId="77777777" w:rsidR="00B03E09" w:rsidRPr="00534079" w:rsidRDefault="0072483A" w:rsidP="00FF0CFF">
            <w:pPr>
              <w:pBdr>
                <w:top w:val="nil"/>
                <w:left w:val="nil"/>
                <w:bottom w:val="nil"/>
                <w:right w:val="nil"/>
                <w:between w:val="nil"/>
              </w:pBdr>
              <w:tabs>
                <w:tab w:val="left" w:pos="270"/>
                <w:tab w:val="left" w:pos="450"/>
              </w:tabs>
              <w:spacing w:after="120" w:line="360" w:lineRule="auto"/>
              <w:rPr>
                <w:rFonts w:ascii="Arial" w:eastAsia="Arial" w:hAnsi="Arial" w:cs="Arial"/>
                <w:color w:val="010000"/>
                <w:sz w:val="20"/>
                <w:szCs w:val="20"/>
              </w:rPr>
            </w:pPr>
            <w:r w:rsidRPr="00534079">
              <w:rPr>
                <w:rFonts w:ascii="Arial" w:hAnsi="Arial" w:cs="Arial"/>
                <w:color w:val="010000"/>
                <w:sz w:val="20"/>
              </w:rPr>
              <w:t>381,368,132</w:t>
            </w:r>
          </w:p>
        </w:tc>
      </w:tr>
      <w:tr w:rsidR="00B03E09" w:rsidRPr="00534079" w14:paraId="0CD93398" w14:textId="77777777" w:rsidTr="0072483A">
        <w:tc>
          <w:tcPr>
            <w:tcW w:w="383" w:type="pct"/>
            <w:shd w:val="clear" w:color="auto" w:fill="auto"/>
            <w:tcMar>
              <w:top w:w="0" w:type="dxa"/>
              <w:bottom w:w="0" w:type="dxa"/>
            </w:tcMar>
            <w:vAlign w:val="center"/>
          </w:tcPr>
          <w:p w14:paraId="20156434" w14:textId="77777777" w:rsidR="00B03E09" w:rsidRPr="00534079" w:rsidRDefault="0072483A" w:rsidP="00FF0CFF">
            <w:pPr>
              <w:pBdr>
                <w:top w:val="nil"/>
                <w:left w:val="nil"/>
                <w:bottom w:val="nil"/>
                <w:right w:val="nil"/>
                <w:between w:val="nil"/>
              </w:pBdr>
              <w:tabs>
                <w:tab w:val="left" w:pos="270"/>
                <w:tab w:val="left" w:pos="450"/>
              </w:tabs>
              <w:spacing w:after="120" w:line="360" w:lineRule="auto"/>
              <w:rPr>
                <w:rFonts w:ascii="Arial" w:eastAsia="Arial" w:hAnsi="Arial" w:cs="Arial"/>
                <w:color w:val="010000"/>
                <w:sz w:val="20"/>
                <w:szCs w:val="20"/>
              </w:rPr>
            </w:pPr>
            <w:r w:rsidRPr="00534079">
              <w:rPr>
                <w:rFonts w:ascii="Arial" w:hAnsi="Arial" w:cs="Arial"/>
                <w:color w:val="010000"/>
                <w:sz w:val="20"/>
              </w:rPr>
              <w:t>2</w:t>
            </w:r>
          </w:p>
        </w:tc>
        <w:tc>
          <w:tcPr>
            <w:tcW w:w="3343" w:type="pct"/>
            <w:shd w:val="clear" w:color="auto" w:fill="auto"/>
            <w:tcMar>
              <w:top w:w="0" w:type="dxa"/>
              <w:bottom w:w="0" w:type="dxa"/>
            </w:tcMar>
            <w:vAlign w:val="center"/>
          </w:tcPr>
          <w:p w14:paraId="6FB1DCB4" w14:textId="5D341B85" w:rsidR="00B03E09" w:rsidRPr="00534079" w:rsidRDefault="0072483A" w:rsidP="00FF0CFF">
            <w:pPr>
              <w:pBdr>
                <w:top w:val="nil"/>
                <w:left w:val="nil"/>
                <w:bottom w:val="nil"/>
                <w:right w:val="nil"/>
                <w:between w:val="nil"/>
              </w:pBdr>
              <w:tabs>
                <w:tab w:val="left" w:pos="270"/>
                <w:tab w:val="left" w:pos="450"/>
              </w:tabs>
              <w:spacing w:after="120" w:line="360" w:lineRule="auto"/>
              <w:rPr>
                <w:rFonts w:ascii="Arial" w:eastAsia="Arial" w:hAnsi="Arial" w:cs="Arial"/>
                <w:color w:val="010000"/>
                <w:sz w:val="20"/>
                <w:szCs w:val="20"/>
              </w:rPr>
            </w:pPr>
            <w:r w:rsidRPr="00534079">
              <w:rPr>
                <w:rFonts w:ascii="Arial" w:hAnsi="Arial" w:cs="Arial"/>
                <w:color w:val="010000"/>
                <w:sz w:val="20"/>
              </w:rPr>
              <w:t xml:space="preserve">Profit after tax in 2023 of the shareholders of the </w:t>
            </w:r>
            <w:r w:rsidR="00FF0CFF" w:rsidRPr="00534079">
              <w:rPr>
                <w:rFonts w:ascii="Arial" w:hAnsi="Arial" w:cs="Arial"/>
                <w:color w:val="010000"/>
                <w:sz w:val="20"/>
              </w:rPr>
              <w:t>H</w:t>
            </w:r>
            <w:r w:rsidRPr="00534079">
              <w:rPr>
                <w:rFonts w:ascii="Arial" w:hAnsi="Arial" w:cs="Arial"/>
                <w:color w:val="010000"/>
                <w:sz w:val="20"/>
              </w:rPr>
              <w:t>olding company</w:t>
            </w:r>
          </w:p>
        </w:tc>
        <w:tc>
          <w:tcPr>
            <w:tcW w:w="1274" w:type="pct"/>
            <w:shd w:val="clear" w:color="auto" w:fill="auto"/>
            <w:tcMar>
              <w:top w:w="0" w:type="dxa"/>
              <w:bottom w:w="0" w:type="dxa"/>
            </w:tcMar>
            <w:vAlign w:val="center"/>
          </w:tcPr>
          <w:p w14:paraId="156CDFFA" w14:textId="77777777" w:rsidR="00B03E09" w:rsidRPr="00534079" w:rsidRDefault="0072483A" w:rsidP="00FF0CFF">
            <w:pPr>
              <w:pBdr>
                <w:top w:val="nil"/>
                <w:left w:val="nil"/>
                <w:bottom w:val="nil"/>
                <w:right w:val="nil"/>
                <w:between w:val="nil"/>
              </w:pBdr>
              <w:tabs>
                <w:tab w:val="left" w:pos="270"/>
                <w:tab w:val="left" w:pos="450"/>
              </w:tabs>
              <w:spacing w:after="120" w:line="360" w:lineRule="auto"/>
              <w:rPr>
                <w:rFonts w:ascii="Arial" w:eastAsia="Arial" w:hAnsi="Arial" w:cs="Arial"/>
                <w:color w:val="010000"/>
                <w:sz w:val="20"/>
                <w:szCs w:val="20"/>
              </w:rPr>
            </w:pPr>
            <w:r w:rsidRPr="00534079">
              <w:rPr>
                <w:rFonts w:ascii="Arial" w:hAnsi="Arial" w:cs="Arial"/>
                <w:color w:val="010000"/>
                <w:sz w:val="20"/>
              </w:rPr>
              <w:t>-347,622,348</w:t>
            </w:r>
          </w:p>
        </w:tc>
      </w:tr>
      <w:tr w:rsidR="00B03E09" w:rsidRPr="00534079" w14:paraId="1B2288BE" w14:textId="77777777" w:rsidTr="0072483A">
        <w:tc>
          <w:tcPr>
            <w:tcW w:w="383" w:type="pct"/>
            <w:shd w:val="clear" w:color="auto" w:fill="auto"/>
            <w:tcMar>
              <w:top w:w="0" w:type="dxa"/>
              <w:bottom w:w="0" w:type="dxa"/>
            </w:tcMar>
            <w:vAlign w:val="center"/>
          </w:tcPr>
          <w:p w14:paraId="039D036C" w14:textId="77777777" w:rsidR="00B03E09" w:rsidRPr="00534079" w:rsidRDefault="0072483A" w:rsidP="00FF0CFF">
            <w:pPr>
              <w:pBdr>
                <w:top w:val="nil"/>
                <w:left w:val="nil"/>
                <w:bottom w:val="nil"/>
                <w:right w:val="nil"/>
                <w:between w:val="nil"/>
              </w:pBdr>
              <w:tabs>
                <w:tab w:val="left" w:pos="270"/>
                <w:tab w:val="left" w:pos="450"/>
              </w:tabs>
              <w:spacing w:after="120" w:line="360" w:lineRule="auto"/>
              <w:rPr>
                <w:rFonts w:ascii="Arial" w:eastAsia="Arial" w:hAnsi="Arial" w:cs="Arial"/>
                <w:color w:val="010000"/>
                <w:sz w:val="20"/>
                <w:szCs w:val="20"/>
              </w:rPr>
            </w:pPr>
            <w:r w:rsidRPr="00534079">
              <w:rPr>
                <w:rFonts w:ascii="Arial" w:hAnsi="Arial" w:cs="Arial"/>
                <w:color w:val="010000"/>
                <w:sz w:val="20"/>
              </w:rPr>
              <w:t>3</w:t>
            </w:r>
          </w:p>
        </w:tc>
        <w:tc>
          <w:tcPr>
            <w:tcW w:w="3343" w:type="pct"/>
            <w:shd w:val="clear" w:color="auto" w:fill="auto"/>
            <w:tcMar>
              <w:top w:w="0" w:type="dxa"/>
              <w:bottom w:w="0" w:type="dxa"/>
            </w:tcMar>
            <w:vAlign w:val="center"/>
          </w:tcPr>
          <w:p w14:paraId="3998F85D" w14:textId="7C14C92C" w:rsidR="00B03E09" w:rsidRPr="00534079" w:rsidRDefault="00FF0CFF" w:rsidP="00FF0CFF">
            <w:pPr>
              <w:pBdr>
                <w:top w:val="nil"/>
                <w:left w:val="nil"/>
                <w:bottom w:val="nil"/>
                <w:right w:val="nil"/>
                <w:between w:val="nil"/>
              </w:pBdr>
              <w:tabs>
                <w:tab w:val="left" w:pos="270"/>
                <w:tab w:val="left" w:pos="450"/>
              </w:tabs>
              <w:spacing w:after="120" w:line="360" w:lineRule="auto"/>
              <w:rPr>
                <w:rFonts w:ascii="Arial" w:eastAsia="Arial" w:hAnsi="Arial" w:cs="Arial"/>
                <w:color w:val="010000"/>
                <w:sz w:val="20"/>
                <w:szCs w:val="20"/>
              </w:rPr>
            </w:pPr>
            <w:r w:rsidRPr="00534079">
              <w:rPr>
                <w:rFonts w:ascii="Arial" w:hAnsi="Arial" w:cs="Arial"/>
                <w:color w:val="010000"/>
                <w:sz w:val="20"/>
              </w:rPr>
              <w:t>Accumulated u</w:t>
            </w:r>
            <w:r w:rsidR="0072483A" w:rsidRPr="00534079">
              <w:rPr>
                <w:rFonts w:ascii="Arial" w:hAnsi="Arial" w:cs="Arial"/>
                <w:color w:val="010000"/>
                <w:sz w:val="20"/>
              </w:rPr>
              <w:t>ndistributed consolidated profit after tax until December 31, 2023:</w:t>
            </w:r>
          </w:p>
        </w:tc>
        <w:tc>
          <w:tcPr>
            <w:tcW w:w="1274" w:type="pct"/>
            <w:shd w:val="clear" w:color="auto" w:fill="auto"/>
            <w:tcMar>
              <w:top w:w="0" w:type="dxa"/>
              <w:bottom w:w="0" w:type="dxa"/>
            </w:tcMar>
            <w:vAlign w:val="center"/>
          </w:tcPr>
          <w:p w14:paraId="3C7CCF1E" w14:textId="77777777" w:rsidR="00B03E09" w:rsidRPr="00534079" w:rsidRDefault="0072483A" w:rsidP="00FF0CFF">
            <w:pPr>
              <w:pBdr>
                <w:top w:val="nil"/>
                <w:left w:val="nil"/>
                <w:bottom w:val="nil"/>
                <w:right w:val="nil"/>
                <w:between w:val="nil"/>
              </w:pBdr>
              <w:tabs>
                <w:tab w:val="left" w:pos="270"/>
                <w:tab w:val="left" w:pos="450"/>
              </w:tabs>
              <w:spacing w:after="120" w:line="360" w:lineRule="auto"/>
              <w:rPr>
                <w:rFonts w:ascii="Arial" w:eastAsia="Arial" w:hAnsi="Arial" w:cs="Arial"/>
                <w:color w:val="010000"/>
                <w:sz w:val="20"/>
                <w:szCs w:val="20"/>
              </w:rPr>
            </w:pPr>
            <w:r w:rsidRPr="00534079">
              <w:rPr>
                <w:rFonts w:ascii="Arial" w:hAnsi="Arial" w:cs="Arial"/>
                <w:color w:val="010000"/>
                <w:sz w:val="20"/>
              </w:rPr>
              <w:t>-15,122,503,482</w:t>
            </w:r>
          </w:p>
        </w:tc>
      </w:tr>
      <w:tr w:rsidR="00B03E09" w:rsidRPr="00534079" w14:paraId="32BFC83D" w14:textId="77777777" w:rsidTr="0072483A">
        <w:tc>
          <w:tcPr>
            <w:tcW w:w="383" w:type="pct"/>
            <w:shd w:val="clear" w:color="auto" w:fill="auto"/>
            <w:tcMar>
              <w:top w:w="0" w:type="dxa"/>
              <w:bottom w:w="0" w:type="dxa"/>
            </w:tcMar>
            <w:vAlign w:val="center"/>
          </w:tcPr>
          <w:p w14:paraId="16E4A882" w14:textId="77777777" w:rsidR="00B03E09" w:rsidRPr="00534079" w:rsidRDefault="0072483A" w:rsidP="00FF0CFF">
            <w:pPr>
              <w:pBdr>
                <w:top w:val="nil"/>
                <w:left w:val="nil"/>
                <w:bottom w:val="nil"/>
                <w:right w:val="nil"/>
                <w:between w:val="nil"/>
              </w:pBdr>
              <w:tabs>
                <w:tab w:val="left" w:pos="270"/>
                <w:tab w:val="left" w:pos="450"/>
              </w:tabs>
              <w:spacing w:after="120" w:line="360" w:lineRule="auto"/>
              <w:rPr>
                <w:rFonts w:ascii="Arial" w:eastAsia="Arial" w:hAnsi="Arial" w:cs="Arial"/>
                <w:color w:val="010000"/>
                <w:sz w:val="20"/>
                <w:szCs w:val="20"/>
              </w:rPr>
            </w:pPr>
            <w:r w:rsidRPr="00534079">
              <w:rPr>
                <w:rFonts w:ascii="Arial" w:hAnsi="Arial" w:cs="Arial"/>
                <w:color w:val="010000"/>
                <w:sz w:val="20"/>
              </w:rPr>
              <w:t>4</w:t>
            </w:r>
          </w:p>
        </w:tc>
        <w:tc>
          <w:tcPr>
            <w:tcW w:w="3343" w:type="pct"/>
            <w:shd w:val="clear" w:color="auto" w:fill="auto"/>
            <w:tcMar>
              <w:top w:w="0" w:type="dxa"/>
              <w:bottom w:w="0" w:type="dxa"/>
            </w:tcMar>
            <w:vAlign w:val="center"/>
          </w:tcPr>
          <w:p w14:paraId="5D2141A4" w14:textId="77777777" w:rsidR="00B03E09" w:rsidRPr="00534079" w:rsidRDefault="0072483A" w:rsidP="00FF0CFF">
            <w:pPr>
              <w:pBdr>
                <w:top w:val="nil"/>
                <w:left w:val="nil"/>
                <w:bottom w:val="nil"/>
                <w:right w:val="nil"/>
                <w:between w:val="nil"/>
              </w:pBdr>
              <w:tabs>
                <w:tab w:val="left" w:pos="270"/>
                <w:tab w:val="left" w:pos="450"/>
              </w:tabs>
              <w:spacing w:after="120" w:line="360" w:lineRule="auto"/>
              <w:rPr>
                <w:rFonts w:ascii="Arial" w:eastAsia="Arial" w:hAnsi="Arial" w:cs="Arial"/>
                <w:color w:val="010000"/>
                <w:sz w:val="20"/>
                <w:szCs w:val="20"/>
              </w:rPr>
            </w:pPr>
            <w:r w:rsidRPr="00534079">
              <w:rPr>
                <w:rFonts w:ascii="Arial" w:hAnsi="Arial" w:cs="Arial"/>
                <w:color w:val="010000"/>
                <w:sz w:val="20"/>
              </w:rPr>
              <w:t>Dividend payment</w:t>
            </w:r>
          </w:p>
        </w:tc>
        <w:tc>
          <w:tcPr>
            <w:tcW w:w="1274" w:type="pct"/>
            <w:shd w:val="clear" w:color="auto" w:fill="auto"/>
            <w:tcMar>
              <w:top w:w="0" w:type="dxa"/>
              <w:bottom w:w="0" w:type="dxa"/>
            </w:tcMar>
            <w:vAlign w:val="center"/>
          </w:tcPr>
          <w:p w14:paraId="5FE0162E" w14:textId="77777777" w:rsidR="00B03E09" w:rsidRPr="00534079" w:rsidRDefault="0072483A" w:rsidP="00FF0CFF">
            <w:pPr>
              <w:pBdr>
                <w:top w:val="nil"/>
                <w:left w:val="nil"/>
                <w:bottom w:val="nil"/>
                <w:right w:val="nil"/>
                <w:between w:val="nil"/>
              </w:pBdr>
              <w:tabs>
                <w:tab w:val="left" w:pos="270"/>
                <w:tab w:val="left" w:pos="450"/>
              </w:tabs>
              <w:spacing w:after="120" w:line="360" w:lineRule="auto"/>
              <w:rPr>
                <w:rFonts w:ascii="Arial" w:eastAsia="Arial" w:hAnsi="Arial" w:cs="Arial"/>
                <w:color w:val="010000"/>
                <w:sz w:val="20"/>
                <w:szCs w:val="20"/>
              </w:rPr>
            </w:pPr>
            <w:r w:rsidRPr="00534079">
              <w:rPr>
                <w:rFonts w:ascii="Arial" w:hAnsi="Arial" w:cs="Arial"/>
                <w:color w:val="010000"/>
                <w:sz w:val="20"/>
              </w:rPr>
              <w:t>0</w:t>
            </w:r>
          </w:p>
        </w:tc>
      </w:tr>
      <w:tr w:rsidR="00B03E09" w:rsidRPr="00534079" w14:paraId="4DDD4D60" w14:textId="77777777" w:rsidTr="0072483A">
        <w:tc>
          <w:tcPr>
            <w:tcW w:w="383" w:type="pct"/>
            <w:shd w:val="clear" w:color="auto" w:fill="auto"/>
            <w:tcMar>
              <w:top w:w="0" w:type="dxa"/>
              <w:bottom w:w="0" w:type="dxa"/>
            </w:tcMar>
            <w:vAlign w:val="center"/>
          </w:tcPr>
          <w:p w14:paraId="0271AAB9" w14:textId="77777777" w:rsidR="00B03E09" w:rsidRPr="00534079" w:rsidRDefault="0072483A" w:rsidP="00FF0CFF">
            <w:pPr>
              <w:pBdr>
                <w:top w:val="nil"/>
                <w:left w:val="nil"/>
                <w:bottom w:val="nil"/>
                <w:right w:val="nil"/>
                <w:between w:val="nil"/>
              </w:pBdr>
              <w:tabs>
                <w:tab w:val="left" w:pos="270"/>
                <w:tab w:val="left" w:pos="450"/>
              </w:tabs>
              <w:spacing w:after="120" w:line="360" w:lineRule="auto"/>
              <w:rPr>
                <w:rFonts w:ascii="Arial" w:eastAsia="Arial" w:hAnsi="Arial" w:cs="Arial"/>
                <w:color w:val="010000"/>
                <w:sz w:val="20"/>
                <w:szCs w:val="20"/>
              </w:rPr>
            </w:pPr>
            <w:r w:rsidRPr="00534079">
              <w:rPr>
                <w:rFonts w:ascii="Arial" w:hAnsi="Arial" w:cs="Arial"/>
                <w:color w:val="010000"/>
                <w:sz w:val="20"/>
              </w:rPr>
              <w:t>5</w:t>
            </w:r>
          </w:p>
        </w:tc>
        <w:tc>
          <w:tcPr>
            <w:tcW w:w="3343" w:type="pct"/>
            <w:shd w:val="clear" w:color="auto" w:fill="auto"/>
            <w:tcMar>
              <w:top w:w="0" w:type="dxa"/>
              <w:bottom w:w="0" w:type="dxa"/>
            </w:tcMar>
            <w:vAlign w:val="center"/>
          </w:tcPr>
          <w:p w14:paraId="5DAF3786" w14:textId="447696F8" w:rsidR="00B03E09" w:rsidRPr="00534079" w:rsidRDefault="0072483A" w:rsidP="00FF0CFF">
            <w:pPr>
              <w:pBdr>
                <w:top w:val="nil"/>
                <w:left w:val="nil"/>
                <w:bottom w:val="nil"/>
                <w:right w:val="nil"/>
                <w:between w:val="nil"/>
              </w:pBdr>
              <w:tabs>
                <w:tab w:val="left" w:pos="270"/>
                <w:tab w:val="left" w:pos="450"/>
              </w:tabs>
              <w:spacing w:after="120" w:line="360" w:lineRule="auto"/>
              <w:rPr>
                <w:rFonts w:ascii="Arial" w:eastAsia="Arial" w:hAnsi="Arial" w:cs="Arial"/>
                <w:color w:val="010000"/>
                <w:sz w:val="20"/>
                <w:szCs w:val="20"/>
              </w:rPr>
            </w:pPr>
            <w:r w:rsidRPr="00534079">
              <w:rPr>
                <w:rFonts w:ascii="Arial" w:hAnsi="Arial" w:cs="Arial"/>
                <w:color w:val="010000"/>
                <w:sz w:val="20"/>
              </w:rPr>
              <w:t>Appropriation for funds</w:t>
            </w:r>
          </w:p>
        </w:tc>
        <w:tc>
          <w:tcPr>
            <w:tcW w:w="1274" w:type="pct"/>
            <w:shd w:val="clear" w:color="auto" w:fill="auto"/>
            <w:tcMar>
              <w:top w:w="0" w:type="dxa"/>
              <w:bottom w:w="0" w:type="dxa"/>
            </w:tcMar>
            <w:vAlign w:val="center"/>
          </w:tcPr>
          <w:p w14:paraId="25F1F1FD" w14:textId="77777777" w:rsidR="00B03E09" w:rsidRPr="00534079" w:rsidRDefault="0072483A" w:rsidP="00FF0CFF">
            <w:pPr>
              <w:pBdr>
                <w:top w:val="nil"/>
                <w:left w:val="nil"/>
                <w:bottom w:val="nil"/>
                <w:right w:val="nil"/>
                <w:between w:val="nil"/>
              </w:pBdr>
              <w:tabs>
                <w:tab w:val="left" w:pos="270"/>
                <w:tab w:val="left" w:pos="450"/>
              </w:tabs>
              <w:spacing w:after="120" w:line="360" w:lineRule="auto"/>
              <w:rPr>
                <w:rFonts w:ascii="Arial" w:eastAsia="Arial" w:hAnsi="Arial" w:cs="Arial"/>
                <w:color w:val="010000"/>
                <w:sz w:val="20"/>
                <w:szCs w:val="20"/>
              </w:rPr>
            </w:pPr>
            <w:r w:rsidRPr="00534079">
              <w:rPr>
                <w:rFonts w:ascii="Arial" w:hAnsi="Arial" w:cs="Arial"/>
                <w:color w:val="010000"/>
                <w:sz w:val="20"/>
              </w:rPr>
              <w:t>0</w:t>
            </w:r>
          </w:p>
        </w:tc>
      </w:tr>
    </w:tbl>
    <w:p w14:paraId="3DEE4D3E" w14:textId="148A76D9" w:rsidR="00B03E09" w:rsidRPr="00534079" w:rsidRDefault="0072483A" w:rsidP="00FF0CFF">
      <w:pPr>
        <w:numPr>
          <w:ilvl w:val="0"/>
          <w:numId w:val="11"/>
        </w:numPr>
        <w:pBdr>
          <w:top w:val="nil"/>
          <w:left w:val="nil"/>
          <w:bottom w:val="nil"/>
          <w:right w:val="nil"/>
          <w:between w:val="nil"/>
        </w:pBdr>
        <w:tabs>
          <w:tab w:val="left" w:pos="270"/>
          <w:tab w:val="left" w:pos="450"/>
          <w:tab w:val="left" w:pos="1623"/>
        </w:tabs>
        <w:spacing w:after="120" w:line="360" w:lineRule="auto"/>
        <w:rPr>
          <w:rFonts w:ascii="Arial" w:hAnsi="Arial" w:cs="Arial"/>
          <w:color w:val="010000"/>
          <w:sz w:val="20"/>
          <w:szCs w:val="20"/>
        </w:rPr>
      </w:pPr>
      <w:r w:rsidRPr="00534079">
        <w:rPr>
          <w:rFonts w:ascii="Arial" w:hAnsi="Arial" w:cs="Arial"/>
          <w:color w:val="010000"/>
          <w:sz w:val="20"/>
        </w:rPr>
        <w:t>The report on the settlement of remuneration of members of the Board of Directors, salary fund and remuneration of members of the Supervisory Board of the Company in 2023 are as follows:</w:t>
      </w:r>
    </w:p>
    <w:p w14:paraId="7A16168A" w14:textId="77777777" w:rsidR="00B03E09" w:rsidRPr="00534079" w:rsidRDefault="0072483A" w:rsidP="00FF0CFF">
      <w:pPr>
        <w:numPr>
          <w:ilvl w:val="0"/>
          <w:numId w:val="1"/>
        </w:numPr>
        <w:pBdr>
          <w:top w:val="nil"/>
          <w:left w:val="nil"/>
          <w:bottom w:val="nil"/>
          <w:right w:val="nil"/>
          <w:between w:val="nil"/>
        </w:pBdr>
        <w:tabs>
          <w:tab w:val="left" w:pos="270"/>
          <w:tab w:val="left" w:pos="450"/>
          <w:tab w:val="left" w:pos="2012"/>
        </w:tabs>
        <w:spacing w:after="120" w:line="360" w:lineRule="auto"/>
        <w:rPr>
          <w:rFonts w:ascii="Arial" w:hAnsi="Arial" w:cs="Arial"/>
          <w:color w:val="010000"/>
          <w:sz w:val="20"/>
          <w:szCs w:val="20"/>
        </w:rPr>
      </w:pPr>
      <w:r w:rsidRPr="00534079">
        <w:rPr>
          <w:rFonts w:ascii="Arial" w:hAnsi="Arial" w:cs="Arial"/>
          <w:color w:val="010000"/>
          <w:sz w:val="20"/>
        </w:rPr>
        <w:t xml:space="preserve">Remuneration fund of the Board of Directors in 2023 is: </w:t>
      </w:r>
      <w:proofErr w:type="spellStart"/>
      <w:r w:rsidRPr="00534079">
        <w:rPr>
          <w:rFonts w:ascii="Arial" w:hAnsi="Arial" w:cs="Arial"/>
          <w:color w:val="010000"/>
          <w:sz w:val="20"/>
        </w:rPr>
        <w:t>VND</w:t>
      </w:r>
      <w:proofErr w:type="spellEnd"/>
      <w:r w:rsidRPr="00534079">
        <w:rPr>
          <w:rFonts w:ascii="Arial" w:hAnsi="Arial" w:cs="Arial"/>
          <w:color w:val="010000"/>
          <w:sz w:val="20"/>
        </w:rPr>
        <w:t xml:space="preserve"> 270,864,000</w:t>
      </w:r>
    </w:p>
    <w:p w14:paraId="3C6BB63A" w14:textId="667906FA" w:rsidR="00B03E09" w:rsidRPr="00534079" w:rsidRDefault="0072483A" w:rsidP="00FF0CFF">
      <w:pPr>
        <w:numPr>
          <w:ilvl w:val="0"/>
          <w:numId w:val="1"/>
        </w:numPr>
        <w:pBdr>
          <w:top w:val="nil"/>
          <w:left w:val="nil"/>
          <w:bottom w:val="nil"/>
          <w:right w:val="nil"/>
          <w:between w:val="nil"/>
        </w:pBdr>
        <w:tabs>
          <w:tab w:val="left" w:pos="270"/>
          <w:tab w:val="left" w:pos="450"/>
          <w:tab w:val="left" w:pos="2012"/>
        </w:tabs>
        <w:spacing w:after="120" w:line="360" w:lineRule="auto"/>
        <w:rPr>
          <w:rFonts w:ascii="Arial" w:hAnsi="Arial" w:cs="Arial"/>
          <w:color w:val="010000"/>
          <w:sz w:val="20"/>
          <w:szCs w:val="20"/>
        </w:rPr>
      </w:pPr>
      <w:r w:rsidRPr="00534079">
        <w:rPr>
          <w:rFonts w:ascii="Arial" w:hAnsi="Arial" w:cs="Arial"/>
          <w:color w:val="010000"/>
          <w:sz w:val="20"/>
        </w:rPr>
        <w:t xml:space="preserve">Total salary </w:t>
      </w:r>
      <w:r w:rsidR="00FF0CFF" w:rsidRPr="00534079">
        <w:rPr>
          <w:rFonts w:ascii="Arial" w:hAnsi="Arial" w:cs="Arial"/>
          <w:color w:val="010000"/>
          <w:sz w:val="20"/>
        </w:rPr>
        <w:t xml:space="preserve">and remuneration </w:t>
      </w:r>
      <w:r w:rsidRPr="00534079">
        <w:rPr>
          <w:rFonts w:ascii="Arial" w:hAnsi="Arial" w:cs="Arial"/>
          <w:color w:val="010000"/>
          <w:sz w:val="20"/>
        </w:rPr>
        <w:t xml:space="preserve">fund of the Supervisory Board in 2023 is: </w:t>
      </w:r>
      <w:proofErr w:type="spellStart"/>
      <w:r w:rsidRPr="00534079">
        <w:rPr>
          <w:rFonts w:ascii="Arial" w:hAnsi="Arial" w:cs="Arial"/>
          <w:color w:val="010000"/>
          <w:sz w:val="20"/>
        </w:rPr>
        <w:t>VND</w:t>
      </w:r>
      <w:proofErr w:type="spellEnd"/>
      <w:r w:rsidRPr="00534079">
        <w:rPr>
          <w:rFonts w:ascii="Arial" w:hAnsi="Arial" w:cs="Arial"/>
          <w:color w:val="010000"/>
          <w:sz w:val="20"/>
        </w:rPr>
        <w:t xml:space="preserve"> 317,813,760</w:t>
      </w:r>
    </w:p>
    <w:p w14:paraId="0B3A9FEC" w14:textId="4E1A151F" w:rsidR="00B03E09" w:rsidRPr="00534079" w:rsidRDefault="0072483A" w:rsidP="00FF0CFF">
      <w:pPr>
        <w:numPr>
          <w:ilvl w:val="0"/>
          <w:numId w:val="11"/>
        </w:numPr>
        <w:pBdr>
          <w:top w:val="nil"/>
          <w:left w:val="nil"/>
          <w:bottom w:val="nil"/>
          <w:right w:val="nil"/>
          <w:between w:val="nil"/>
        </w:pBdr>
        <w:tabs>
          <w:tab w:val="left" w:pos="270"/>
          <w:tab w:val="left" w:pos="450"/>
          <w:tab w:val="left" w:pos="1623"/>
        </w:tabs>
        <w:spacing w:after="120" w:line="360" w:lineRule="auto"/>
        <w:rPr>
          <w:rFonts w:ascii="Arial" w:hAnsi="Arial" w:cs="Arial"/>
          <w:color w:val="010000"/>
          <w:sz w:val="20"/>
          <w:szCs w:val="20"/>
        </w:rPr>
      </w:pPr>
      <w:r w:rsidRPr="00534079">
        <w:rPr>
          <w:rFonts w:ascii="Arial" w:hAnsi="Arial" w:cs="Arial"/>
          <w:color w:val="010000"/>
          <w:sz w:val="20"/>
        </w:rPr>
        <w:lastRenderedPageBreak/>
        <w:t xml:space="preserve">Proposal on the plan to pay the salary and remuneration </w:t>
      </w:r>
      <w:r w:rsidR="00FF0CFF" w:rsidRPr="00534079">
        <w:rPr>
          <w:rFonts w:ascii="Arial" w:hAnsi="Arial" w:cs="Arial"/>
          <w:color w:val="010000"/>
          <w:sz w:val="20"/>
        </w:rPr>
        <w:t>for</w:t>
      </w:r>
      <w:r w:rsidRPr="00534079">
        <w:rPr>
          <w:rFonts w:ascii="Arial" w:hAnsi="Arial" w:cs="Arial"/>
          <w:color w:val="010000"/>
          <w:sz w:val="20"/>
        </w:rPr>
        <w:t xml:space="preserve"> the Board of Directors and the Supervisory Board in 2024 is as follows:</w:t>
      </w:r>
    </w:p>
    <w:p w14:paraId="6315D3D5" w14:textId="748B1164" w:rsidR="00B03E09" w:rsidRPr="00534079" w:rsidRDefault="0072483A" w:rsidP="00FF0CFF">
      <w:pPr>
        <w:numPr>
          <w:ilvl w:val="0"/>
          <w:numId w:val="3"/>
        </w:numPr>
        <w:pBdr>
          <w:top w:val="nil"/>
          <w:left w:val="nil"/>
          <w:bottom w:val="nil"/>
          <w:right w:val="nil"/>
          <w:between w:val="nil"/>
        </w:pBdr>
        <w:tabs>
          <w:tab w:val="left" w:pos="270"/>
          <w:tab w:val="left" w:pos="450"/>
          <w:tab w:val="left" w:pos="2122"/>
        </w:tabs>
        <w:spacing w:after="120" w:line="360" w:lineRule="auto"/>
        <w:rPr>
          <w:rFonts w:ascii="Arial" w:hAnsi="Arial" w:cs="Arial"/>
          <w:color w:val="010000"/>
          <w:sz w:val="20"/>
          <w:szCs w:val="20"/>
        </w:rPr>
      </w:pPr>
      <w:r w:rsidRPr="00534079">
        <w:rPr>
          <w:rFonts w:ascii="Arial" w:hAnsi="Arial" w:cs="Arial"/>
          <w:color w:val="010000"/>
          <w:sz w:val="20"/>
        </w:rPr>
        <w:t>Remuneration fund of the Board of Directors; salary</w:t>
      </w:r>
      <w:r w:rsidR="00FF0CFF" w:rsidRPr="00534079">
        <w:rPr>
          <w:rFonts w:ascii="Arial" w:hAnsi="Arial" w:cs="Arial"/>
          <w:color w:val="010000"/>
          <w:sz w:val="20"/>
        </w:rPr>
        <w:t xml:space="preserve"> and</w:t>
      </w:r>
      <w:r w:rsidRPr="00534079">
        <w:rPr>
          <w:rFonts w:ascii="Arial" w:hAnsi="Arial" w:cs="Arial"/>
          <w:color w:val="010000"/>
          <w:sz w:val="20"/>
        </w:rPr>
        <w:t xml:space="preserve"> remuneration </w:t>
      </w:r>
      <w:r w:rsidR="00FF0CFF" w:rsidRPr="00534079">
        <w:rPr>
          <w:rFonts w:ascii="Arial" w:hAnsi="Arial" w:cs="Arial"/>
          <w:color w:val="010000"/>
          <w:sz w:val="20"/>
        </w:rPr>
        <w:t xml:space="preserve">fund </w:t>
      </w:r>
      <w:r w:rsidRPr="00534079">
        <w:rPr>
          <w:rFonts w:ascii="Arial" w:hAnsi="Arial" w:cs="Arial"/>
          <w:color w:val="010000"/>
          <w:sz w:val="20"/>
        </w:rPr>
        <w:t>of members of the Supervisory Board:</w:t>
      </w:r>
    </w:p>
    <w:p w14:paraId="576C8DEF" w14:textId="77777777" w:rsidR="00B03E09" w:rsidRPr="00534079" w:rsidRDefault="0072483A" w:rsidP="00FF0CFF">
      <w:pPr>
        <w:numPr>
          <w:ilvl w:val="0"/>
          <w:numId w:val="4"/>
        </w:numPr>
        <w:pBdr>
          <w:top w:val="nil"/>
          <w:left w:val="nil"/>
          <w:bottom w:val="nil"/>
          <w:right w:val="nil"/>
          <w:between w:val="nil"/>
        </w:pBdr>
        <w:tabs>
          <w:tab w:val="left" w:pos="270"/>
          <w:tab w:val="left" w:pos="450"/>
          <w:tab w:val="left" w:pos="2007"/>
        </w:tabs>
        <w:spacing w:after="120" w:line="360" w:lineRule="auto"/>
        <w:rPr>
          <w:rFonts w:ascii="Arial" w:hAnsi="Arial" w:cs="Arial"/>
          <w:color w:val="010000"/>
          <w:sz w:val="20"/>
          <w:szCs w:val="20"/>
        </w:rPr>
      </w:pPr>
      <w:r w:rsidRPr="00534079">
        <w:rPr>
          <w:rFonts w:ascii="Arial" w:hAnsi="Arial" w:cs="Arial"/>
          <w:color w:val="010000"/>
          <w:sz w:val="20"/>
        </w:rPr>
        <w:t xml:space="preserve">Total remuneration fund of the Board of Directors in 2024 is: </w:t>
      </w:r>
      <w:proofErr w:type="spellStart"/>
      <w:r w:rsidRPr="00534079">
        <w:rPr>
          <w:rFonts w:ascii="Arial" w:hAnsi="Arial" w:cs="Arial"/>
          <w:color w:val="010000"/>
          <w:sz w:val="20"/>
        </w:rPr>
        <w:t>VND</w:t>
      </w:r>
      <w:proofErr w:type="spellEnd"/>
      <w:r w:rsidRPr="00534079">
        <w:rPr>
          <w:rFonts w:ascii="Arial" w:hAnsi="Arial" w:cs="Arial"/>
          <w:color w:val="010000"/>
          <w:sz w:val="20"/>
        </w:rPr>
        <w:t xml:space="preserve"> 300,960,000.</w:t>
      </w:r>
    </w:p>
    <w:p w14:paraId="7A8DF7D1" w14:textId="292155A2" w:rsidR="00B03E09" w:rsidRPr="00534079" w:rsidRDefault="0072483A" w:rsidP="00FF0CFF">
      <w:pPr>
        <w:numPr>
          <w:ilvl w:val="0"/>
          <w:numId w:val="4"/>
        </w:numPr>
        <w:pBdr>
          <w:top w:val="nil"/>
          <w:left w:val="nil"/>
          <w:bottom w:val="nil"/>
          <w:right w:val="nil"/>
          <w:between w:val="nil"/>
        </w:pBdr>
        <w:tabs>
          <w:tab w:val="left" w:pos="270"/>
          <w:tab w:val="left" w:pos="450"/>
          <w:tab w:val="left" w:pos="2012"/>
        </w:tabs>
        <w:spacing w:after="120" w:line="360" w:lineRule="auto"/>
        <w:rPr>
          <w:rFonts w:ascii="Arial" w:hAnsi="Arial" w:cs="Arial"/>
          <w:color w:val="010000"/>
          <w:sz w:val="20"/>
          <w:szCs w:val="20"/>
        </w:rPr>
      </w:pPr>
      <w:r w:rsidRPr="00534079">
        <w:rPr>
          <w:rFonts w:ascii="Arial" w:hAnsi="Arial" w:cs="Arial"/>
          <w:color w:val="010000"/>
          <w:sz w:val="20"/>
        </w:rPr>
        <w:t xml:space="preserve">Total salary </w:t>
      </w:r>
      <w:r w:rsidR="00FF0CFF" w:rsidRPr="00534079">
        <w:rPr>
          <w:rFonts w:ascii="Arial" w:hAnsi="Arial" w:cs="Arial"/>
          <w:color w:val="010000"/>
          <w:sz w:val="20"/>
        </w:rPr>
        <w:t xml:space="preserve">and remuneration </w:t>
      </w:r>
      <w:r w:rsidRPr="00534079">
        <w:rPr>
          <w:rFonts w:ascii="Arial" w:hAnsi="Arial" w:cs="Arial"/>
          <w:color w:val="010000"/>
          <w:sz w:val="20"/>
        </w:rPr>
        <w:t xml:space="preserve">fund of the Supervisory Board in 2024 is: </w:t>
      </w:r>
      <w:proofErr w:type="spellStart"/>
      <w:r w:rsidRPr="00534079">
        <w:rPr>
          <w:rFonts w:ascii="Arial" w:hAnsi="Arial" w:cs="Arial"/>
          <w:color w:val="010000"/>
          <w:sz w:val="20"/>
        </w:rPr>
        <w:t>VND</w:t>
      </w:r>
      <w:proofErr w:type="spellEnd"/>
      <w:r w:rsidRPr="00534079">
        <w:rPr>
          <w:rFonts w:ascii="Arial" w:hAnsi="Arial" w:cs="Arial"/>
          <w:color w:val="010000"/>
          <w:sz w:val="20"/>
        </w:rPr>
        <w:t xml:space="preserve"> 353,126,400.</w:t>
      </w:r>
    </w:p>
    <w:p w14:paraId="3368FFA4" w14:textId="5845EEC4" w:rsidR="00B03E09" w:rsidRPr="00534079" w:rsidRDefault="0072483A" w:rsidP="00FF0CFF">
      <w:pPr>
        <w:numPr>
          <w:ilvl w:val="0"/>
          <w:numId w:val="3"/>
        </w:numPr>
        <w:pBdr>
          <w:top w:val="nil"/>
          <w:left w:val="nil"/>
          <w:bottom w:val="nil"/>
          <w:right w:val="nil"/>
          <w:between w:val="nil"/>
        </w:pBdr>
        <w:tabs>
          <w:tab w:val="left" w:pos="270"/>
          <w:tab w:val="left" w:pos="450"/>
          <w:tab w:val="left" w:pos="2142"/>
        </w:tabs>
        <w:spacing w:after="120" w:line="360" w:lineRule="auto"/>
        <w:rPr>
          <w:rFonts w:ascii="Arial" w:hAnsi="Arial" w:cs="Arial"/>
          <w:color w:val="010000"/>
          <w:sz w:val="20"/>
          <w:szCs w:val="20"/>
        </w:rPr>
      </w:pPr>
      <w:r w:rsidRPr="00534079">
        <w:rPr>
          <w:rFonts w:ascii="Arial" w:hAnsi="Arial" w:cs="Arial"/>
          <w:color w:val="010000"/>
          <w:sz w:val="20"/>
        </w:rPr>
        <w:t xml:space="preserve">Method of remuneration </w:t>
      </w:r>
      <w:r w:rsidR="00FF0CFF" w:rsidRPr="00534079">
        <w:rPr>
          <w:rFonts w:ascii="Arial" w:hAnsi="Arial" w:cs="Arial"/>
          <w:color w:val="010000"/>
          <w:sz w:val="20"/>
        </w:rPr>
        <w:t xml:space="preserve">payment </w:t>
      </w:r>
      <w:r w:rsidRPr="00534079">
        <w:rPr>
          <w:rFonts w:ascii="Arial" w:hAnsi="Arial" w:cs="Arial"/>
          <w:color w:val="010000"/>
          <w:sz w:val="20"/>
        </w:rPr>
        <w:t>for members of the Board of Directors and salary, remuneration for members of the Supervisory Board of the company in 2024:</w:t>
      </w:r>
    </w:p>
    <w:p w14:paraId="5E241403" w14:textId="7C98830D" w:rsidR="00B03E09" w:rsidRPr="00534079" w:rsidRDefault="0072483A" w:rsidP="00FF0CFF">
      <w:pPr>
        <w:pBdr>
          <w:top w:val="nil"/>
          <w:left w:val="nil"/>
          <w:bottom w:val="nil"/>
          <w:right w:val="nil"/>
          <w:between w:val="nil"/>
        </w:pBdr>
        <w:tabs>
          <w:tab w:val="left" w:pos="270"/>
          <w:tab w:val="left" w:pos="450"/>
        </w:tabs>
        <w:spacing w:after="120" w:line="360" w:lineRule="auto"/>
        <w:rPr>
          <w:rFonts w:ascii="Arial" w:eastAsia="Arial" w:hAnsi="Arial" w:cs="Arial"/>
          <w:color w:val="010000"/>
          <w:sz w:val="20"/>
          <w:szCs w:val="20"/>
        </w:rPr>
      </w:pPr>
      <w:r w:rsidRPr="00534079">
        <w:rPr>
          <w:rFonts w:ascii="Arial" w:hAnsi="Arial" w:cs="Arial"/>
          <w:color w:val="010000"/>
          <w:sz w:val="20"/>
        </w:rPr>
        <w:t xml:space="preserve">Make monthly </w:t>
      </w:r>
      <w:r w:rsidR="00FF0CFF" w:rsidRPr="00534079">
        <w:rPr>
          <w:rFonts w:ascii="Arial" w:hAnsi="Arial" w:cs="Arial"/>
          <w:color w:val="010000"/>
          <w:sz w:val="20"/>
        </w:rPr>
        <w:t xml:space="preserve">advance </w:t>
      </w:r>
      <w:r w:rsidRPr="00534079">
        <w:rPr>
          <w:rFonts w:ascii="Arial" w:hAnsi="Arial" w:cs="Arial"/>
          <w:color w:val="010000"/>
          <w:sz w:val="20"/>
        </w:rPr>
        <w:t>payments and be settled at the end of the fiscal year. The Board of Directors will report to the Annual General Meeting of Shareholders in 2025 for approval.</w:t>
      </w:r>
    </w:p>
    <w:p w14:paraId="2920A456" w14:textId="2B89F398" w:rsidR="00B03E09" w:rsidRPr="00534079" w:rsidRDefault="0072483A" w:rsidP="00FF0CFF">
      <w:pPr>
        <w:numPr>
          <w:ilvl w:val="0"/>
          <w:numId w:val="11"/>
        </w:numPr>
        <w:pBdr>
          <w:top w:val="nil"/>
          <w:left w:val="nil"/>
          <w:bottom w:val="nil"/>
          <w:right w:val="nil"/>
          <w:between w:val="nil"/>
        </w:pBdr>
        <w:tabs>
          <w:tab w:val="left" w:pos="270"/>
          <w:tab w:val="left" w:pos="450"/>
          <w:tab w:val="left" w:pos="1623"/>
        </w:tabs>
        <w:spacing w:after="120" w:line="360" w:lineRule="auto"/>
        <w:rPr>
          <w:rFonts w:ascii="Arial" w:hAnsi="Arial" w:cs="Arial"/>
          <w:color w:val="010000"/>
          <w:sz w:val="20"/>
          <w:szCs w:val="20"/>
        </w:rPr>
      </w:pPr>
      <w:r w:rsidRPr="00534079">
        <w:rPr>
          <w:rFonts w:ascii="Arial" w:hAnsi="Arial" w:cs="Arial"/>
          <w:color w:val="010000"/>
          <w:sz w:val="20"/>
        </w:rPr>
        <w:t>Supplement</w:t>
      </w:r>
      <w:r w:rsidR="00FF0CFF" w:rsidRPr="00534079">
        <w:rPr>
          <w:rFonts w:ascii="Arial" w:hAnsi="Arial" w:cs="Arial"/>
          <w:color w:val="010000"/>
          <w:sz w:val="20"/>
        </w:rPr>
        <w:t xml:space="preserve"> </w:t>
      </w:r>
      <w:r w:rsidRPr="00534079">
        <w:rPr>
          <w:rFonts w:ascii="Arial" w:hAnsi="Arial" w:cs="Arial"/>
          <w:color w:val="010000"/>
          <w:sz w:val="20"/>
        </w:rPr>
        <w:t xml:space="preserve">business lines </w:t>
      </w:r>
      <w:r w:rsidR="00FF0CFF" w:rsidRPr="00534079">
        <w:rPr>
          <w:rFonts w:ascii="Arial" w:hAnsi="Arial" w:cs="Arial"/>
          <w:color w:val="010000"/>
          <w:sz w:val="20"/>
        </w:rPr>
        <w:t>of “</w:t>
      </w:r>
      <w:r w:rsidRPr="00534079">
        <w:rPr>
          <w:rFonts w:ascii="Arial" w:hAnsi="Arial" w:cs="Arial"/>
          <w:color w:val="010000"/>
          <w:sz w:val="20"/>
        </w:rPr>
        <w:t>Other professional, scientific and technical activities not elsewhere classified - industry code 7490.</w:t>
      </w:r>
      <w:r w:rsidR="00FF0CFF" w:rsidRPr="00534079">
        <w:rPr>
          <w:rFonts w:ascii="Arial" w:hAnsi="Arial" w:cs="Arial"/>
          <w:color w:val="010000"/>
          <w:sz w:val="20"/>
        </w:rPr>
        <w:t>”</w:t>
      </w:r>
      <w:r w:rsidRPr="00534079">
        <w:rPr>
          <w:rFonts w:ascii="Arial" w:hAnsi="Arial" w:cs="Arial"/>
          <w:color w:val="010000"/>
          <w:sz w:val="20"/>
        </w:rPr>
        <w:t xml:space="preserve"> </w:t>
      </w:r>
      <w:r w:rsidR="00FF0CFF" w:rsidRPr="00534079">
        <w:rPr>
          <w:rFonts w:ascii="Arial" w:hAnsi="Arial" w:cs="Arial"/>
          <w:color w:val="010000"/>
          <w:sz w:val="20"/>
        </w:rPr>
        <w:t>Specifically</w:t>
      </w:r>
      <w:r w:rsidRPr="00534079">
        <w:rPr>
          <w:rFonts w:ascii="Arial" w:hAnsi="Arial" w:cs="Arial"/>
          <w:color w:val="010000"/>
          <w:sz w:val="20"/>
        </w:rPr>
        <w:t>:</w:t>
      </w:r>
    </w:p>
    <w:p w14:paraId="644D4AA3" w14:textId="77777777" w:rsidR="00B03E09" w:rsidRPr="00534079" w:rsidRDefault="0072483A" w:rsidP="00FF0CFF">
      <w:pPr>
        <w:numPr>
          <w:ilvl w:val="0"/>
          <w:numId w:val="5"/>
        </w:numPr>
        <w:pBdr>
          <w:top w:val="nil"/>
          <w:left w:val="nil"/>
          <w:bottom w:val="nil"/>
          <w:right w:val="nil"/>
          <w:between w:val="nil"/>
        </w:pBdr>
        <w:tabs>
          <w:tab w:val="left" w:pos="270"/>
          <w:tab w:val="left" w:pos="450"/>
          <w:tab w:val="left" w:pos="1767"/>
        </w:tabs>
        <w:spacing w:after="120" w:line="360" w:lineRule="auto"/>
        <w:rPr>
          <w:rFonts w:ascii="Arial" w:hAnsi="Arial" w:cs="Arial"/>
          <w:color w:val="010000"/>
          <w:sz w:val="20"/>
          <w:szCs w:val="20"/>
        </w:rPr>
      </w:pPr>
      <w:r w:rsidRPr="00534079">
        <w:rPr>
          <w:rFonts w:ascii="Arial" w:hAnsi="Arial" w:cs="Arial"/>
          <w:color w:val="010000"/>
          <w:sz w:val="20"/>
        </w:rPr>
        <w:t>Environmental consulting;</w:t>
      </w:r>
    </w:p>
    <w:p w14:paraId="04352F6D" w14:textId="01565F0F" w:rsidR="00B03E09" w:rsidRPr="00534079" w:rsidRDefault="0072483A" w:rsidP="00FF0CFF">
      <w:pPr>
        <w:numPr>
          <w:ilvl w:val="0"/>
          <w:numId w:val="5"/>
        </w:numPr>
        <w:pBdr>
          <w:top w:val="nil"/>
          <w:left w:val="nil"/>
          <w:bottom w:val="nil"/>
          <w:right w:val="nil"/>
          <w:between w:val="nil"/>
        </w:pBdr>
        <w:tabs>
          <w:tab w:val="left" w:pos="270"/>
          <w:tab w:val="left" w:pos="450"/>
          <w:tab w:val="left" w:pos="1772"/>
        </w:tabs>
        <w:spacing w:after="120" w:line="360" w:lineRule="auto"/>
        <w:rPr>
          <w:rFonts w:ascii="Arial" w:hAnsi="Arial" w:cs="Arial"/>
          <w:color w:val="010000"/>
          <w:sz w:val="20"/>
          <w:szCs w:val="20"/>
        </w:rPr>
      </w:pPr>
      <w:r w:rsidRPr="00534079">
        <w:rPr>
          <w:rFonts w:ascii="Arial" w:hAnsi="Arial" w:cs="Arial"/>
          <w:color w:val="010000"/>
          <w:sz w:val="20"/>
        </w:rPr>
        <w:t>Consult</w:t>
      </w:r>
      <w:r w:rsidR="00FF0CFF" w:rsidRPr="00534079">
        <w:rPr>
          <w:rFonts w:ascii="Arial" w:hAnsi="Arial" w:cs="Arial"/>
          <w:color w:val="010000"/>
          <w:sz w:val="20"/>
        </w:rPr>
        <w:t>ation</w:t>
      </w:r>
      <w:r w:rsidRPr="00534079">
        <w:rPr>
          <w:rFonts w:ascii="Arial" w:hAnsi="Arial" w:cs="Arial"/>
          <w:color w:val="010000"/>
          <w:sz w:val="20"/>
        </w:rPr>
        <w:t>, risk assessment for projects, constructions</w:t>
      </w:r>
      <w:r w:rsidR="00FF0CFF" w:rsidRPr="00534079">
        <w:rPr>
          <w:rFonts w:ascii="Arial" w:hAnsi="Arial" w:cs="Arial"/>
          <w:color w:val="010000"/>
          <w:sz w:val="20"/>
        </w:rPr>
        <w:t>,</w:t>
      </w:r>
      <w:r w:rsidRPr="00534079">
        <w:rPr>
          <w:rFonts w:ascii="Arial" w:hAnsi="Arial" w:cs="Arial"/>
          <w:color w:val="010000"/>
          <w:sz w:val="20"/>
        </w:rPr>
        <w:t xml:space="preserve"> and activities.</w:t>
      </w:r>
    </w:p>
    <w:p w14:paraId="076924C5" w14:textId="77777777" w:rsidR="00B03E09" w:rsidRPr="00534079" w:rsidRDefault="0072483A" w:rsidP="00FF0CFF">
      <w:pPr>
        <w:numPr>
          <w:ilvl w:val="0"/>
          <w:numId w:val="5"/>
        </w:numPr>
        <w:pBdr>
          <w:top w:val="nil"/>
          <w:left w:val="nil"/>
          <w:bottom w:val="nil"/>
          <w:right w:val="nil"/>
          <w:between w:val="nil"/>
        </w:pBdr>
        <w:tabs>
          <w:tab w:val="left" w:pos="270"/>
          <w:tab w:val="left" w:pos="450"/>
          <w:tab w:val="left" w:pos="1772"/>
        </w:tabs>
        <w:spacing w:after="120" w:line="360" w:lineRule="auto"/>
        <w:rPr>
          <w:rFonts w:ascii="Arial" w:hAnsi="Arial" w:cs="Arial"/>
          <w:color w:val="010000"/>
          <w:sz w:val="20"/>
          <w:szCs w:val="20"/>
        </w:rPr>
      </w:pPr>
      <w:r w:rsidRPr="00534079">
        <w:rPr>
          <w:rFonts w:ascii="Arial" w:hAnsi="Arial" w:cs="Arial"/>
          <w:color w:val="010000"/>
          <w:sz w:val="20"/>
        </w:rPr>
        <w:t>Set up a safety management program.</w:t>
      </w:r>
    </w:p>
    <w:p w14:paraId="67B44792" w14:textId="77777777" w:rsidR="00B03E09" w:rsidRPr="00534079" w:rsidRDefault="0072483A" w:rsidP="00FF0CFF">
      <w:pPr>
        <w:numPr>
          <w:ilvl w:val="0"/>
          <w:numId w:val="5"/>
        </w:numPr>
        <w:pBdr>
          <w:top w:val="nil"/>
          <w:left w:val="nil"/>
          <w:bottom w:val="nil"/>
          <w:right w:val="nil"/>
          <w:between w:val="nil"/>
        </w:pBdr>
        <w:tabs>
          <w:tab w:val="left" w:pos="270"/>
          <w:tab w:val="left" w:pos="450"/>
          <w:tab w:val="left" w:pos="1772"/>
        </w:tabs>
        <w:spacing w:after="120" w:line="360" w:lineRule="auto"/>
        <w:rPr>
          <w:rFonts w:ascii="Arial" w:hAnsi="Arial" w:cs="Arial"/>
          <w:color w:val="010000"/>
          <w:sz w:val="20"/>
          <w:szCs w:val="20"/>
        </w:rPr>
      </w:pPr>
      <w:r w:rsidRPr="00534079">
        <w:rPr>
          <w:rFonts w:ascii="Arial" w:hAnsi="Arial" w:cs="Arial"/>
          <w:color w:val="010000"/>
          <w:sz w:val="20"/>
        </w:rPr>
        <w:t>Make an emergency response plan.</w:t>
      </w:r>
    </w:p>
    <w:p w14:paraId="0A2A9A1D" w14:textId="69897540" w:rsidR="00B03E09" w:rsidRPr="00534079" w:rsidRDefault="0072483A" w:rsidP="00FF0CFF">
      <w:pPr>
        <w:numPr>
          <w:ilvl w:val="0"/>
          <w:numId w:val="5"/>
        </w:numPr>
        <w:pBdr>
          <w:top w:val="nil"/>
          <w:left w:val="nil"/>
          <w:bottom w:val="nil"/>
          <w:right w:val="nil"/>
          <w:between w:val="nil"/>
        </w:pBdr>
        <w:tabs>
          <w:tab w:val="left" w:pos="270"/>
          <w:tab w:val="left" w:pos="450"/>
          <w:tab w:val="left" w:pos="1772"/>
        </w:tabs>
        <w:spacing w:after="120" w:line="360" w:lineRule="auto"/>
        <w:rPr>
          <w:rFonts w:ascii="Arial" w:hAnsi="Arial" w:cs="Arial"/>
          <w:color w:val="010000"/>
          <w:sz w:val="20"/>
          <w:szCs w:val="20"/>
        </w:rPr>
      </w:pPr>
      <w:r w:rsidRPr="00534079">
        <w:rPr>
          <w:rFonts w:ascii="Arial" w:hAnsi="Arial" w:cs="Arial"/>
          <w:color w:val="010000"/>
          <w:sz w:val="20"/>
        </w:rPr>
        <w:t>Building safety, health</w:t>
      </w:r>
      <w:r w:rsidR="00FF0CFF" w:rsidRPr="00534079">
        <w:rPr>
          <w:rFonts w:ascii="Arial" w:hAnsi="Arial" w:cs="Arial"/>
          <w:color w:val="010000"/>
          <w:sz w:val="20"/>
        </w:rPr>
        <w:t>,</w:t>
      </w:r>
      <w:r w:rsidRPr="00534079">
        <w:rPr>
          <w:rFonts w:ascii="Arial" w:hAnsi="Arial" w:cs="Arial"/>
          <w:color w:val="010000"/>
          <w:sz w:val="20"/>
        </w:rPr>
        <w:t xml:space="preserve"> and environmental systems.</w:t>
      </w:r>
    </w:p>
    <w:p w14:paraId="1F66F77F" w14:textId="5B79BD26" w:rsidR="00B03E09" w:rsidRPr="00534079" w:rsidRDefault="0072483A" w:rsidP="00FF0CFF">
      <w:pPr>
        <w:numPr>
          <w:ilvl w:val="0"/>
          <w:numId w:val="5"/>
        </w:numPr>
        <w:pBdr>
          <w:top w:val="nil"/>
          <w:left w:val="nil"/>
          <w:bottom w:val="nil"/>
          <w:right w:val="nil"/>
          <w:between w:val="nil"/>
        </w:pBdr>
        <w:tabs>
          <w:tab w:val="left" w:pos="270"/>
          <w:tab w:val="left" w:pos="450"/>
          <w:tab w:val="left" w:pos="1772"/>
        </w:tabs>
        <w:spacing w:after="120" w:line="360" w:lineRule="auto"/>
        <w:rPr>
          <w:rFonts w:ascii="Arial" w:hAnsi="Arial" w:cs="Arial"/>
          <w:color w:val="010000"/>
          <w:sz w:val="20"/>
          <w:szCs w:val="20"/>
        </w:rPr>
      </w:pPr>
      <w:proofErr w:type="spellStart"/>
      <w:r w:rsidRPr="00534079">
        <w:rPr>
          <w:rFonts w:ascii="Arial" w:hAnsi="Arial" w:cs="Arial"/>
          <w:color w:val="010000"/>
          <w:sz w:val="20"/>
        </w:rPr>
        <w:t>Consulti</w:t>
      </w:r>
      <w:r w:rsidR="00FF0CFF" w:rsidRPr="00534079">
        <w:rPr>
          <w:rFonts w:ascii="Arial" w:hAnsi="Arial" w:cs="Arial"/>
          <w:color w:val="010000"/>
          <w:sz w:val="20"/>
        </w:rPr>
        <w:t>ation</w:t>
      </w:r>
      <w:proofErr w:type="spellEnd"/>
      <w:r w:rsidRPr="00534079">
        <w:rPr>
          <w:rFonts w:ascii="Arial" w:hAnsi="Arial" w:cs="Arial"/>
          <w:color w:val="010000"/>
          <w:sz w:val="20"/>
        </w:rPr>
        <w:t xml:space="preserve"> to prepare environmental impact assessment reports. Commitment to environmental protection.</w:t>
      </w:r>
    </w:p>
    <w:p w14:paraId="4C317603" w14:textId="77777777" w:rsidR="00B03E09" w:rsidRPr="00534079" w:rsidRDefault="0072483A" w:rsidP="00FF0CFF">
      <w:pPr>
        <w:numPr>
          <w:ilvl w:val="0"/>
          <w:numId w:val="5"/>
        </w:numPr>
        <w:pBdr>
          <w:top w:val="nil"/>
          <w:left w:val="nil"/>
          <w:bottom w:val="nil"/>
          <w:right w:val="nil"/>
          <w:between w:val="nil"/>
        </w:pBdr>
        <w:tabs>
          <w:tab w:val="left" w:pos="270"/>
          <w:tab w:val="left" w:pos="450"/>
          <w:tab w:val="left" w:pos="1772"/>
        </w:tabs>
        <w:spacing w:after="120" w:line="360" w:lineRule="auto"/>
        <w:rPr>
          <w:rFonts w:ascii="Arial" w:hAnsi="Arial" w:cs="Arial"/>
          <w:color w:val="010000"/>
          <w:sz w:val="20"/>
          <w:szCs w:val="20"/>
        </w:rPr>
      </w:pPr>
      <w:r w:rsidRPr="00534079">
        <w:rPr>
          <w:rFonts w:ascii="Arial" w:hAnsi="Arial" w:cs="Arial"/>
          <w:color w:val="010000"/>
          <w:sz w:val="20"/>
        </w:rPr>
        <w:t>Oil spill response planning consultancy.</w:t>
      </w:r>
    </w:p>
    <w:p w14:paraId="208937BE" w14:textId="6380BAC7" w:rsidR="00B03E09" w:rsidRPr="00534079" w:rsidRDefault="0072483A" w:rsidP="00FF0CFF">
      <w:pPr>
        <w:numPr>
          <w:ilvl w:val="0"/>
          <w:numId w:val="5"/>
        </w:numPr>
        <w:pBdr>
          <w:top w:val="nil"/>
          <w:left w:val="nil"/>
          <w:bottom w:val="nil"/>
          <w:right w:val="nil"/>
          <w:between w:val="nil"/>
        </w:pBdr>
        <w:tabs>
          <w:tab w:val="left" w:pos="270"/>
          <w:tab w:val="left" w:pos="450"/>
          <w:tab w:val="left" w:pos="1772"/>
        </w:tabs>
        <w:spacing w:after="120" w:line="360" w:lineRule="auto"/>
        <w:rPr>
          <w:rFonts w:ascii="Arial" w:hAnsi="Arial" w:cs="Arial"/>
          <w:color w:val="010000"/>
          <w:sz w:val="20"/>
          <w:szCs w:val="20"/>
        </w:rPr>
      </w:pPr>
      <w:r w:rsidRPr="00534079">
        <w:rPr>
          <w:rFonts w:ascii="Arial" w:hAnsi="Arial" w:cs="Arial"/>
          <w:color w:val="010000"/>
          <w:sz w:val="20"/>
        </w:rPr>
        <w:t>Consult</w:t>
      </w:r>
      <w:r w:rsidR="00FF0CFF" w:rsidRPr="00534079">
        <w:rPr>
          <w:rFonts w:ascii="Arial" w:hAnsi="Arial" w:cs="Arial"/>
          <w:color w:val="010000"/>
          <w:sz w:val="20"/>
        </w:rPr>
        <w:t>ation</w:t>
      </w:r>
      <w:r w:rsidRPr="00534079">
        <w:rPr>
          <w:rFonts w:ascii="Arial" w:hAnsi="Arial" w:cs="Arial"/>
          <w:color w:val="010000"/>
          <w:sz w:val="20"/>
        </w:rPr>
        <w:t xml:space="preserve"> on planning to prevent and respond to chemical incidents</w:t>
      </w:r>
    </w:p>
    <w:p w14:paraId="4B2C4805" w14:textId="3CE9E537" w:rsidR="00B03E09" w:rsidRPr="00534079" w:rsidRDefault="0072483A" w:rsidP="00FF0CFF">
      <w:pPr>
        <w:numPr>
          <w:ilvl w:val="0"/>
          <w:numId w:val="7"/>
        </w:numPr>
        <w:pBdr>
          <w:top w:val="nil"/>
          <w:left w:val="nil"/>
          <w:bottom w:val="nil"/>
          <w:right w:val="nil"/>
          <w:between w:val="nil"/>
        </w:pBdr>
        <w:tabs>
          <w:tab w:val="left" w:pos="270"/>
          <w:tab w:val="left" w:pos="450"/>
          <w:tab w:val="left" w:pos="1638"/>
        </w:tabs>
        <w:spacing w:after="120" w:line="360" w:lineRule="auto"/>
        <w:rPr>
          <w:rFonts w:ascii="Arial" w:hAnsi="Arial" w:cs="Arial"/>
          <w:color w:val="010000"/>
          <w:sz w:val="20"/>
          <w:szCs w:val="20"/>
        </w:rPr>
      </w:pPr>
      <w:r w:rsidRPr="00534079">
        <w:rPr>
          <w:rFonts w:ascii="Arial" w:hAnsi="Arial" w:cs="Arial"/>
          <w:color w:val="010000"/>
          <w:sz w:val="20"/>
        </w:rPr>
        <w:t>Supplement and amend the Charter:</w:t>
      </w:r>
    </w:p>
    <w:p w14:paraId="7CD3B30B" w14:textId="1489729A" w:rsidR="00B03E09" w:rsidRPr="00534079" w:rsidRDefault="0072483A" w:rsidP="00FF0CFF">
      <w:pPr>
        <w:numPr>
          <w:ilvl w:val="0"/>
          <w:numId w:val="9"/>
        </w:numPr>
        <w:pBdr>
          <w:top w:val="nil"/>
          <w:left w:val="nil"/>
          <w:bottom w:val="nil"/>
          <w:right w:val="nil"/>
          <w:between w:val="nil"/>
        </w:pBdr>
        <w:tabs>
          <w:tab w:val="left" w:pos="270"/>
          <w:tab w:val="left" w:pos="450"/>
          <w:tab w:val="left" w:pos="1772"/>
        </w:tabs>
        <w:spacing w:after="120" w:line="360" w:lineRule="auto"/>
        <w:rPr>
          <w:rFonts w:ascii="Arial" w:hAnsi="Arial" w:cs="Arial"/>
          <w:color w:val="010000"/>
          <w:sz w:val="20"/>
          <w:szCs w:val="20"/>
        </w:rPr>
      </w:pPr>
      <w:r w:rsidRPr="00534079">
        <w:rPr>
          <w:rFonts w:ascii="Arial" w:hAnsi="Arial" w:cs="Arial"/>
          <w:color w:val="010000"/>
          <w:sz w:val="20"/>
        </w:rPr>
        <w:t>Supplement</w:t>
      </w:r>
      <w:r w:rsidR="00FF0CFF" w:rsidRPr="00534079">
        <w:rPr>
          <w:rFonts w:ascii="Arial" w:hAnsi="Arial" w:cs="Arial"/>
          <w:color w:val="010000"/>
          <w:sz w:val="20"/>
        </w:rPr>
        <w:t xml:space="preserve"> </w:t>
      </w:r>
      <w:r w:rsidRPr="00534079">
        <w:rPr>
          <w:rFonts w:ascii="Arial" w:hAnsi="Arial" w:cs="Arial"/>
          <w:color w:val="010000"/>
          <w:sz w:val="20"/>
        </w:rPr>
        <w:t xml:space="preserve">Clause 2 Article 4: The Company's business lines </w:t>
      </w:r>
      <w:r w:rsidR="00FF0CFF" w:rsidRPr="00534079">
        <w:rPr>
          <w:rFonts w:ascii="Arial" w:hAnsi="Arial" w:cs="Arial"/>
          <w:color w:val="010000"/>
          <w:sz w:val="20"/>
        </w:rPr>
        <w:t>of “</w:t>
      </w:r>
      <w:r w:rsidRPr="00534079">
        <w:rPr>
          <w:rFonts w:ascii="Arial" w:hAnsi="Arial" w:cs="Arial"/>
          <w:color w:val="010000"/>
          <w:sz w:val="20"/>
        </w:rPr>
        <w:t>Other professional, scientific and technical activities not elsewhere classified</w:t>
      </w:r>
      <w:r w:rsidR="00FF0CFF" w:rsidRPr="00534079">
        <w:rPr>
          <w:rFonts w:ascii="Arial" w:hAnsi="Arial" w:cs="Arial"/>
          <w:color w:val="010000"/>
          <w:sz w:val="20"/>
        </w:rPr>
        <w:t>.”</w:t>
      </w:r>
    </w:p>
    <w:p w14:paraId="608894EC" w14:textId="6301ED64" w:rsidR="00B03E09" w:rsidRPr="00534079" w:rsidRDefault="0072483A" w:rsidP="00FF0CFF">
      <w:pPr>
        <w:numPr>
          <w:ilvl w:val="0"/>
          <w:numId w:val="9"/>
        </w:numPr>
        <w:pBdr>
          <w:top w:val="nil"/>
          <w:left w:val="nil"/>
          <w:bottom w:val="nil"/>
          <w:right w:val="nil"/>
          <w:between w:val="nil"/>
        </w:pBdr>
        <w:tabs>
          <w:tab w:val="left" w:pos="270"/>
          <w:tab w:val="left" w:pos="450"/>
          <w:tab w:val="left" w:pos="1782"/>
        </w:tabs>
        <w:spacing w:after="120" w:line="360" w:lineRule="auto"/>
        <w:rPr>
          <w:rFonts w:ascii="Arial" w:hAnsi="Arial" w:cs="Arial"/>
          <w:color w:val="010000"/>
          <w:sz w:val="20"/>
          <w:szCs w:val="20"/>
        </w:rPr>
      </w:pPr>
      <w:r w:rsidRPr="00534079">
        <w:rPr>
          <w:rFonts w:ascii="Arial" w:hAnsi="Arial" w:cs="Arial"/>
          <w:color w:val="010000"/>
          <w:sz w:val="20"/>
        </w:rPr>
        <w:t>Amend Clause 1, Article 64: Effective date: The charter was unanimously approved by the General Meeting of Shareholders of Petroleum Logistic Service and Investment Joint Stock Company on April 16, 2024.</w:t>
      </w:r>
    </w:p>
    <w:p w14:paraId="72C5F92C" w14:textId="77777777" w:rsidR="00B03E09" w:rsidRPr="00534079" w:rsidRDefault="0072483A" w:rsidP="00FF0CFF">
      <w:pPr>
        <w:numPr>
          <w:ilvl w:val="0"/>
          <w:numId w:val="7"/>
        </w:numPr>
        <w:pBdr>
          <w:top w:val="nil"/>
          <w:left w:val="nil"/>
          <w:bottom w:val="nil"/>
          <w:right w:val="nil"/>
          <w:between w:val="nil"/>
        </w:pBdr>
        <w:tabs>
          <w:tab w:val="left" w:pos="270"/>
          <w:tab w:val="left" w:pos="450"/>
          <w:tab w:val="left" w:pos="1643"/>
        </w:tabs>
        <w:spacing w:after="120" w:line="360" w:lineRule="auto"/>
        <w:rPr>
          <w:rFonts w:ascii="Arial" w:hAnsi="Arial" w:cs="Arial"/>
          <w:color w:val="010000"/>
          <w:sz w:val="20"/>
          <w:szCs w:val="20"/>
        </w:rPr>
      </w:pPr>
      <w:r w:rsidRPr="00534079">
        <w:rPr>
          <w:rFonts w:ascii="Arial" w:hAnsi="Arial" w:cs="Arial"/>
          <w:color w:val="010000"/>
          <w:sz w:val="20"/>
        </w:rPr>
        <w:t>Proposal on the dismissal and election of members of Board of Directors in the term of 2020-2025</w:t>
      </w:r>
    </w:p>
    <w:p w14:paraId="2FF50C37" w14:textId="14B7C8E3" w:rsidR="00B03E09" w:rsidRPr="00534079" w:rsidRDefault="0072483A" w:rsidP="00FF0CFF">
      <w:pPr>
        <w:numPr>
          <w:ilvl w:val="0"/>
          <w:numId w:val="6"/>
        </w:numPr>
        <w:pBdr>
          <w:top w:val="nil"/>
          <w:left w:val="nil"/>
          <w:bottom w:val="nil"/>
          <w:right w:val="nil"/>
          <w:between w:val="nil"/>
        </w:pBdr>
        <w:tabs>
          <w:tab w:val="left" w:pos="270"/>
          <w:tab w:val="left" w:pos="450"/>
          <w:tab w:val="left" w:pos="1692"/>
        </w:tabs>
        <w:spacing w:after="120" w:line="360" w:lineRule="auto"/>
        <w:rPr>
          <w:rFonts w:ascii="Arial" w:hAnsi="Arial" w:cs="Arial"/>
          <w:color w:val="010000"/>
          <w:sz w:val="20"/>
          <w:szCs w:val="20"/>
        </w:rPr>
      </w:pPr>
      <w:r w:rsidRPr="00534079">
        <w:rPr>
          <w:rFonts w:ascii="Arial" w:hAnsi="Arial" w:cs="Arial"/>
          <w:color w:val="010000"/>
          <w:sz w:val="20"/>
        </w:rPr>
        <w:t xml:space="preserve">Dismiss </w:t>
      </w:r>
      <w:r w:rsidR="00FF0CFF" w:rsidRPr="00534079">
        <w:rPr>
          <w:rFonts w:ascii="Arial" w:hAnsi="Arial" w:cs="Arial"/>
          <w:color w:val="010000"/>
          <w:sz w:val="20"/>
        </w:rPr>
        <w:t xml:space="preserve">Mr. Truong Hung Son </w:t>
      </w:r>
      <w:r w:rsidRPr="00534079">
        <w:rPr>
          <w:rFonts w:ascii="Arial" w:hAnsi="Arial" w:cs="Arial"/>
          <w:color w:val="010000"/>
          <w:sz w:val="20"/>
        </w:rPr>
        <w:t>a</w:t>
      </w:r>
      <w:r w:rsidR="00FF0CFF" w:rsidRPr="00534079">
        <w:rPr>
          <w:rFonts w:ascii="Arial" w:hAnsi="Arial" w:cs="Arial"/>
          <w:color w:val="010000"/>
          <w:sz w:val="20"/>
        </w:rPr>
        <w:t>s a</w:t>
      </w:r>
      <w:r w:rsidRPr="00534079">
        <w:rPr>
          <w:rFonts w:ascii="Arial" w:hAnsi="Arial" w:cs="Arial"/>
          <w:color w:val="010000"/>
          <w:sz w:val="20"/>
        </w:rPr>
        <w:t xml:space="preserve"> </w:t>
      </w:r>
      <w:r w:rsidR="00FF0CFF" w:rsidRPr="00534079">
        <w:rPr>
          <w:rFonts w:ascii="Arial" w:hAnsi="Arial" w:cs="Arial"/>
          <w:color w:val="010000"/>
          <w:sz w:val="20"/>
        </w:rPr>
        <w:t>m</w:t>
      </w:r>
      <w:r w:rsidRPr="00534079">
        <w:rPr>
          <w:rFonts w:ascii="Arial" w:hAnsi="Arial" w:cs="Arial"/>
          <w:color w:val="010000"/>
          <w:sz w:val="20"/>
        </w:rPr>
        <w:t>ember of the Board of Directors for since April 16, 2024.</w:t>
      </w:r>
    </w:p>
    <w:p w14:paraId="66E25DF0" w14:textId="77777777" w:rsidR="00B03E09" w:rsidRPr="00534079" w:rsidRDefault="0072483A" w:rsidP="00FF0CFF">
      <w:pPr>
        <w:numPr>
          <w:ilvl w:val="0"/>
          <w:numId w:val="6"/>
        </w:numPr>
        <w:pBdr>
          <w:top w:val="nil"/>
          <w:left w:val="nil"/>
          <w:bottom w:val="nil"/>
          <w:right w:val="nil"/>
          <w:between w:val="nil"/>
        </w:pBdr>
        <w:tabs>
          <w:tab w:val="left" w:pos="270"/>
          <w:tab w:val="left" w:pos="450"/>
          <w:tab w:val="left" w:pos="1697"/>
        </w:tabs>
        <w:spacing w:after="120" w:line="360" w:lineRule="auto"/>
        <w:rPr>
          <w:rFonts w:ascii="Arial" w:hAnsi="Arial" w:cs="Arial"/>
          <w:color w:val="010000"/>
          <w:sz w:val="20"/>
          <w:szCs w:val="20"/>
        </w:rPr>
      </w:pPr>
      <w:r w:rsidRPr="00534079">
        <w:rPr>
          <w:rFonts w:ascii="Arial" w:hAnsi="Arial" w:cs="Arial"/>
          <w:color w:val="010000"/>
          <w:sz w:val="20"/>
        </w:rPr>
        <w:t xml:space="preserve">Additional election of Mr. </w:t>
      </w:r>
      <w:proofErr w:type="spellStart"/>
      <w:r w:rsidRPr="00534079">
        <w:rPr>
          <w:rFonts w:ascii="Arial" w:hAnsi="Arial" w:cs="Arial"/>
          <w:color w:val="010000"/>
          <w:sz w:val="20"/>
        </w:rPr>
        <w:t>Phung</w:t>
      </w:r>
      <w:proofErr w:type="spellEnd"/>
      <w:r w:rsidRPr="00534079">
        <w:rPr>
          <w:rFonts w:ascii="Arial" w:hAnsi="Arial" w:cs="Arial"/>
          <w:color w:val="010000"/>
          <w:sz w:val="20"/>
        </w:rPr>
        <w:t xml:space="preserve"> Ngoc </w:t>
      </w:r>
      <w:proofErr w:type="spellStart"/>
      <w:r w:rsidRPr="00534079">
        <w:rPr>
          <w:rFonts w:ascii="Arial" w:hAnsi="Arial" w:cs="Arial"/>
          <w:color w:val="010000"/>
          <w:sz w:val="20"/>
        </w:rPr>
        <w:t>Quang</w:t>
      </w:r>
      <w:proofErr w:type="spellEnd"/>
      <w:r w:rsidRPr="00534079">
        <w:rPr>
          <w:rFonts w:ascii="Arial" w:hAnsi="Arial" w:cs="Arial"/>
          <w:color w:val="010000"/>
          <w:sz w:val="20"/>
        </w:rPr>
        <w:t xml:space="preserve"> as a Member of the Board of Directors for the term 2020-2025 from April 16, 2024.</w:t>
      </w:r>
    </w:p>
    <w:p w14:paraId="153AB6BA" w14:textId="77777777" w:rsidR="00B03E09" w:rsidRPr="00534079" w:rsidRDefault="0072483A" w:rsidP="00FF0CFF">
      <w:pPr>
        <w:pBdr>
          <w:top w:val="nil"/>
          <w:left w:val="nil"/>
          <w:bottom w:val="nil"/>
          <w:right w:val="nil"/>
          <w:between w:val="nil"/>
        </w:pBdr>
        <w:tabs>
          <w:tab w:val="left" w:pos="270"/>
          <w:tab w:val="left" w:pos="450"/>
        </w:tabs>
        <w:spacing w:after="120" w:line="360" w:lineRule="auto"/>
        <w:rPr>
          <w:rFonts w:ascii="Arial" w:eastAsia="Arial" w:hAnsi="Arial" w:cs="Arial"/>
          <w:color w:val="010000"/>
          <w:sz w:val="20"/>
          <w:szCs w:val="20"/>
        </w:rPr>
      </w:pPr>
      <w:r w:rsidRPr="00534079">
        <w:rPr>
          <w:rFonts w:ascii="Arial" w:hAnsi="Arial" w:cs="Arial"/>
          <w:color w:val="010000"/>
          <w:sz w:val="20"/>
        </w:rPr>
        <w:t>Article 2: Implementation and organization:</w:t>
      </w:r>
    </w:p>
    <w:p w14:paraId="0880BEB0" w14:textId="24633197" w:rsidR="00B03E09" w:rsidRPr="00534079" w:rsidRDefault="0072483A" w:rsidP="00FF0CFF">
      <w:pPr>
        <w:numPr>
          <w:ilvl w:val="0"/>
          <w:numId w:val="8"/>
        </w:numPr>
        <w:pBdr>
          <w:top w:val="nil"/>
          <w:left w:val="nil"/>
          <w:bottom w:val="nil"/>
          <w:right w:val="nil"/>
          <w:between w:val="nil"/>
        </w:pBdr>
        <w:tabs>
          <w:tab w:val="left" w:pos="270"/>
          <w:tab w:val="left" w:pos="450"/>
          <w:tab w:val="left" w:pos="1929"/>
        </w:tabs>
        <w:spacing w:after="120" w:line="360" w:lineRule="auto"/>
        <w:rPr>
          <w:rFonts w:ascii="Arial" w:hAnsi="Arial" w:cs="Arial"/>
          <w:color w:val="010000"/>
          <w:sz w:val="20"/>
          <w:szCs w:val="20"/>
        </w:rPr>
      </w:pPr>
      <w:r w:rsidRPr="00534079">
        <w:rPr>
          <w:rFonts w:ascii="Arial" w:hAnsi="Arial" w:cs="Arial"/>
          <w:color w:val="010000"/>
          <w:sz w:val="20"/>
        </w:rPr>
        <w:lastRenderedPageBreak/>
        <w:t xml:space="preserve">The General Meeting of Shareholders authorizes the Board of Directors of Petroleum Logistic Service and Investment Joint Stock Company to implement the contents approved by the General Meeting of Shareholders in this </w:t>
      </w:r>
      <w:r w:rsidR="00682D2E" w:rsidRPr="00534079">
        <w:rPr>
          <w:rFonts w:ascii="Arial" w:hAnsi="Arial" w:cs="Arial"/>
          <w:color w:val="010000"/>
          <w:sz w:val="20"/>
        </w:rPr>
        <w:t>General Mandate</w:t>
      </w:r>
      <w:r w:rsidRPr="00534079">
        <w:rPr>
          <w:rFonts w:ascii="Arial" w:hAnsi="Arial" w:cs="Arial"/>
          <w:color w:val="010000"/>
          <w:sz w:val="20"/>
        </w:rPr>
        <w:t xml:space="preserve"> and carry out the necessary procedures to comply with the provisions of law and this </w:t>
      </w:r>
      <w:r w:rsidR="00682D2E" w:rsidRPr="00534079">
        <w:rPr>
          <w:rFonts w:ascii="Arial" w:hAnsi="Arial" w:cs="Arial"/>
          <w:color w:val="010000"/>
          <w:sz w:val="20"/>
        </w:rPr>
        <w:t>General Mandate</w:t>
      </w:r>
      <w:r w:rsidRPr="00534079">
        <w:rPr>
          <w:rFonts w:ascii="Arial" w:hAnsi="Arial" w:cs="Arial"/>
          <w:color w:val="010000"/>
          <w:sz w:val="20"/>
        </w:rPr>
        <w:t>.</w:t>
      </w:r>
    </w:p>
    <w:p w14:paraId="4E20137E" w14:textId="7354FAA0" w:rsidR="00B03E09" w:rsidRPr="00534079" w:rsidRDefault="0072483A" w:rsidP="00FF0CFF">
      <w:pPr>
        <w:numPr>
          <w:ilvl w:val="0"/>
          <w:numId w:val="8"/>
        </w:numPr>
        <w:pBdr>
          <w:top w:val="nil"/>
          <w:left w:val="nil"/>
          <w:bottom w:val="nil"/>
          <w:right w:val="nil"/>
          <w:between w:val="nil"/>
        </w:pBdr>
        <w:tabs>
          <w:tab w:val="left" w:pos="270"/>
          <w:tab w:val="left" w:pos="450"/>
          <w:tab w:val="left" w:pos="1953"/>
        </w:tabs>
        <w:spacing w:after="120" w:line="360" w:lineRule="auto"/>
        <w:rPr>
          <w:rFonts w:ascii="Arial" w:hAnsi="Arial" w:cs="Arial"/>
          <w:color w:val="010000"/>
          <w:sz w:val="20"/>
          <w:szCs w:val="20"/>
        </w:rPr>
      </w:pPr>
      <w:r w:rsidRPr="00534079">
        <w:rPr>
          <w:rFonts w:ascii="Arial" w:hAnsi="Arial" w:cs="Arial"/>
          <w:color w:val="010000"/>
          <w:sz w:val="20"/>
        </w:rPr>
        <w:t xml:space="preserve">This </w:t>
      </w:r>
      <w:r w:rsidR="00682D2E" w:rsidRPr="00534079">
        <w:rPr>
          <w:rFonts w:ascii="Arial" w:hAnsi="Arial" w:cs="Arial"/>
          <w:color w:val="010000"/>
          <w:sz w:val="20"/>
        </w:rPr>
        <w:t>General Mandate</w:t>
      </w:r>
      <w:r w:rsidRPr="00534079">
        <w:rPr>
          <w:rFonts w:ascii="Arial" w:hAnsi="Arial" w:cs="Arial"/>
          <w:color w:val="010000"/>
          <w:sz w:val="20"/>
        </w:rPr>
        <w:t xml:space="preserve"> was approved by the Annual General Meeting of Shareholders </w:t>
      </w:r>
      <w:r w:rsidR="00682D2E" w:rsidRPr="00534079">
        <w:rPr>
          <w:rFonts w:ascii="Arial" w:hAnsi="Arial" w:cs="Arial"/>
          <w:color w:val="010000"/>
          <w:sz w:val="20"/>
        </w:rPr>
        <w:t xml:space="preserve">2024 </w:t>
      </w:r>
      <w:r w:rsidRPr="00534079">
        <w:rPr>
          <w:rFonts w:ascii="Arial" w:hAnsi="Arial" w:cs="Arial"/>
          <w:color w:val="010000"/>
          <w:sz w:val="20"/>
        </w:rPr>
        <w:t>of Petroleum Logistic Service and Investment Joint Stock Company and took effect from April 16, 2024.</w:t>
      </w:r>
    </w:p>
    <w:p w14:paraId="3F98B366" w14:textId="03583DB5" w:rsidR="00B03E09" w:rsidRPr="00534079" w:rsidRDefault="0072483A" w:rsidP="00FF0CFF">
      <w:pPr>
        <w:numPr>
          <w:ilvl w:val="0"/>
          <w:numId w:val="8"/>
        </w:numPr>
        <w:pBdr>
          <w:top w:val="nil"/>
          <w:left w:val="nil"/>
          <w:bottom w:val="nil"/>
          <w:right w:val="nil"/>
          <w:between w:val="nil"/>
        </w:pBdr>
        <w:tabs>
          <w:tab w:val="left" w:pos="270"/>
          <w:tab w:val="left" w:pos="450"/>
          <w:tab w:val="left" w:pos="1953"/>
        </w:tabs>
        <w:spacing w:after="120" w:line="360" w:lineRule="auto"/>
        <w:rPr>
          <w:rFonts w:ascii="Arial" w:hAnsi="Arial" w:cs="Arial"/>
          <w:color w:val="010000"/>
          <w:sz w:val="20"/>
          <w:szCs w:val="20"/>
        </w:rPr>
      </w:pPr>
      <w:r w:rsidRPr="00534079">
        <w:rPr>
          <w:rFonts w:ascii="Arial" w:hAnsi="Arial" w:cs="Arial"/>
          <w:color w:val="010000"/>
          <w:sz w:val="20"/>
        </w:rPr>
        <w:t xml:space="preserve">Members of the Board of Directors, the Supervisory Board, the Board of Management and related organizations, individuals are responsible for the implementation of this </w:t>
      </w:r>
      <w:r w:rsidR="00682D2E" w:rsidRPr="00534079">
        <w:rPr>
          <w:rFonts w:ascii="Arial" w:hAnsi="Arial" w:cs="Arial"/>
          <w:color w:val="010000"/>
          <w:sz w:val="20"/>
        </w:rPr>
        <w:t>General Mandate</w:t>
      </w:r>
      <w:r w:rsidRPr="00534079">
        <w:rPr>
          <w:rFonts w:ascii="Arial" w:hAnsi="Arial" w:cs="Arial"/>
          <w:color w:val="010000"/>
          <w:sz w:val="20"/>
        </w:rPr>
        <w:t>.</w:t>
      </w:r>
    </w:p>
    <w:sectPr w:rsidR="00B03E09" w:rsidRPr="00534079" w:rsidSect="00C67583">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140B1B"/>
    <w:multiLevelType w:val="multilevel"/>
    <w:tmpl w:val="6DA850B2"/>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10DB41BA"/>
    <w:multiLevelType w:val="multilevel"/>
    <w:tmpl w:val="8F449EC2"/>
    <w:lvl w:ilvl="0">
      <w:start w:val="10"/>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221C45B4"/>
    <w:multiLevelType w:val="multilevel"/>
    <w:tmpl w:val="BC0A4E84"/>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26BA5EAF"/>
    <w:multiLevelType w:val="multilevel"/>
    <w:tmpl w:val="47A8818E"/>
    <w:lvl w:ilvl="0">
      <w:start w:val="7"/>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328441C6"/>
    <w:multiLevelType w:val="multilevel"/>
    <w:tmpl w:val="0E4E2760"/>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3FDE6FB3"/>
    <w:multiLevelType w:val="multilevel"/>
    <w:tmpl w:val="E5C2DBDC"/>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413561CA"/>
    <w:multiLevelType w:val="multilevel"/>
    <w:tmpl w:val="8A88ED8C"/>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51282F02"/>
    <w:multiLevelType w:val="hybridMultilevel"/>
    <w:tmpl w:val="CE7292BA"/>
    <w:lvl w:ilvl="0" w:tplc="A56E116C">
      <w:start w:val="1"/>
      <w:numFmt w:val="decimal"/>
      <w:lvlText w:val="%1."/>
      <w:lvlJc w:val="left"/>
      <w:pPr>
        <w:ind w:left="720" w:hanging="360"/>
      </w:pPr>
      <w:rPr>
        <w:rFonts w:eastAsia="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BAB4382"/>
    <w:multiLevelType w:val="multilevel"/>
    <w:tmpl w:val="3BC8E622"/>
    <w:lvl w:ilvl="0">
      <w:start w:val="2"/>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700E08C3"/>
    <w:multiLevelType w:val="multilevel"/>
    <w:tmpl w:val="9718117C"/>
    <w:lvl w:ilvl="0">
      <w:start w:val="1"/>
      <w:numFmt w:val="lowerLetter"/>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71B75153"/>
    <w:multiLevelType w:val="multilevel"/>
    <w:tmpl w:val="5B7643BC"/>
    <w:lvl w:ilvl="0">
      <w:start w:val="1"/>
      <w:numFmt w:val="bullet"/>
      <w:lvlText w:val="●"/>
      <w:lvlJc w:val="left"/>
      <w:pPr>
        <w:ind w:left="0" w:firstLine="0"/>
      </w:pPr>
      <w:rPr>
        <w:rFonts w:ascii="Noto Sans Symbols" w:eastAsia="Noto Sans Symbols" w:hAnsi="Noto Sans Symbols" w:cs="Noto Sans Symbols"/>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7CCF6752"/>
    <w:multiLevelType w:val="multilevel"/>
    <w:tmpl w:val="1DE4FEDA"/>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4"/>
  </w:num>
  <w:num w:numId="2">
    <w:abstractNumId w:val="10"/>
  </w:num>
  <w:num w:numId="3">
    <w:abstractNumId w:val="9"/>
  </w:num>
  <w:num w:numId="4">
    <w:abstractNumId w:val="2"/>
  </w:num>
  <w:num w:numId="5">
    <w:abstractNumId w:val="5"/>
  </w:num>
  <w:num w:numId="6">
    <w:abstractNumId w:val="0"/>
  </w:num>
  <w:num w:numId="7">
    <w:abstractNumId w:val="1"/>
  </w:num>
  <w:num w:numId="8">
    <w:abstractNumId w:val="11"/>
  </w:num>
  <w:num w:numId="9">
    <w:abstractNumId w:val="6"/>
  </w:num>
  <w:num w:numId="10">
    <w:abstractNumId w:val="8"/>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E09"/>
    <w:rsid w:val="00534079"/>
    <w:rsid w:val="00682D2E"/>
    <w:rsid w:val="0072483A"/>
    <w:rsid w:val="00885E1F"/>
    <w:rsid w:val="00B03E09"/>
    <w:rsid w:val="00C67583"/>
    <w:rsid w:val="00FF0CFF"/>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79CAA7"/>
  <w15:docId w15:val="{CB3FC5F3-A1D3-4C41-925A-27817C086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2">
    <w:name w:val="Body text (2)_"/>
    <w:basedOn w:val="DefaultParagraphFont"/>
    <w:link w:val="Bodytext20"/>
    <w:rPr>
      <w:rFonts w:ascii="Times New Roman" w:eastAsia="Times New Roman" w:hAnsi="Times New Roman" w:cs="Times New Roman"/>
      <w:b/>
      <w:bCs/>
      <w:i w:val="0"/>
      <w:iCs w:val="0"/>
      <w:smallCaps w:val="0"/>
      <w:strike w:val="0"/>
      <w:sz w:val="20"/>
      <w:szCs w:val="20"/>
      <w:u w:val="none"/>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6"/>
      <w:szCs w:val="26"/>
      <w:u w:val="none"/>
    </w:rPr>
  </w:style>
  <w:style w:type="character" w:customStyle="1" w:styleId="Bodytext3">
    <w:name w:val="Body text (3)_"/>
    <w:basedOn w:val="DefaultParagraphFont"/>
    <w:link w:val="Bodytext30"/>
    <w:rPr>
      <w:rFonts w:ascii="Arial" w:eastAsia="Arial" w:hAnsi="Arial" w:cs="Arial"/>
      <w:b w:val="0"/>
      <w:bCs w:val="0"/>
      <w:i w:val="0"/>
      <w:iCs w:val="0"/>
      <w:smallCaps w:val="0"/>
      <w:strike w:val="0"/>
      <w:color w:val="F42133"/>
      <w:w w:val="70"/>
      <w:sz w:val="19"/>
      <w:szCs w:val="19"/>
      <w:u w:val="none"/>
    </w:rPr>
  </w:style>
  <w:style w:type="character" w:customStyle="1" w:styleId="Tableofcontents">
    <w:name w:val="Table of contents_"/>
    <w:basedOn w:val="DefaultParagraphFont"/>
    <w:link w:val="Tableofcontents0"/>
    <w:rPr>
      <w:rFonts w:ascii="Times New Roman" w:eastAsia="Times New Roman" w:hAnsi="Times New Roman" w:cs="Times New Roman"/>
      <w:b w:val="0"/>
      <w:bCs w:val="0"/>
      <w:i w:val="0"/>
      <w:iCs w:val="0"/>
      <w:smallCaps w:val="0"/>
      <w:strike w:val="0"/>
      <w:sz w:val="26"/>
      <w:szCs w:val="26"/>
      <w:u w:val="none"/>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sz w:val="30"/>
      <w:szCs w:val="30"/>
      <w:u w:val="none"/>
    </w:rPr>
  </w:style>
  <w:style w:type="character" w:customStyle="1" w:styleId="Heading10">
    <w:name w:val="Heading #1_"/>
    <w:basedOn w:val="DefaultParagraphFont"/>
    <w:link w:val="Heading11"/>
    <w:rPr>
      <w:rFonts w:ascii="Arial" w:eastAsia="Arial" w:hAnsi="Arial" w:cs="Arial"/>
      <w:b w:val="0"/>
      <w:bCs w:val="0"/>
      <w:i w:val="0"/>
      <w:iCs w:val="0"/>
      <w:smallCaps w:val="0"/>
      <w:strike w:val="0"/>
      <w:color w:val="490E14"/>
      <w:sz w:val="80"/>
      <w:szCs w:val="80"/>
      <w:u w:val="none"/>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z w:val="26"/>
      <w:szCs w:val="26"/>
      <w:u w:val="none"/>
    </w:rPr>
  </w:style>
  <w:style w:type="paragraph" w:customStyle="1" w:styleId="Bodytext20">
    <w:name w:val="Body text (2)"/>
    <w:basedOn w:val="Normal"/>
    <w:link w:val="Bodytext2"/>
    <w:rPr>
      <w:rFonts w:ascii="Times New Roman" w:eastAsia="Times New Roman" w:hAnsi="Times New Roman" w:cs="Times New Roman"/>
      <w:b/>
      <w:bCs/>
      <w:sz w:val="20"/>
      <w:szCs w:val="20"/>
    </w:rPr>
  </w:style>
  <w:style w:type="paragraph" w:styleId="BodyText">
    <w:name w:val="Body Text"/>
    <w:basedOn w:val="Normal"/>
    <w:link w:val="BodyTextChar"/>
    <w:qFormat/>
    <w:pPr>
      <w:spacing w:line="254" w:lineRule="auto"/>
      <w:ind w:firstLine="40"/>
    </w:pPr>
    <w:rPr>
      <w:rFonts w:ascii="Times New Roman" w:eastAsia="Times New Roman" w:hAnsi="Times New Roman" w:cs="Times New Roman"/>
      <w:sz w:val="26"/>
      <w:szCs w:val="26"/>
    </w:rPr>
  </w:style>
  <w:style w:type="paragraph" w:customStyle="1" w:styleId="Other0">
    <w:name w:val="Other"/>
    <w:basedOn w:val="Normal"/>
    <w:link w:val="Other"/>
    <w:pPr>
      <w:spacing w:line="254" w:lineRule="auto"/>
      <w:ind w:firstLine="40"/>
    </w:pPr>
    <w:rPr>
      <w:rFonts w:ascii="Times New Roman" w:eastAsia="Times New Roman" w:hAnsi="Times New Roman" w:cs="Times New Roman"/>
      <w:sz w:val="26"/>
      <w:szCs w:val="26"/>
    </w:rPr>
  </w:style>
  <w:style w:type="paragraph" w:customStyle="1" w:styleId="Bodytext30">
    <w:name w:val="Body text (3)"/>
    <w:basedOn w:val="Normal"/>
    <w:link w:val="Bodytext3"/>
    <w:rPr>
      <w:rFonts w:ascii="Arial" w:eastAsia="Arial" w:hAnsi="Arial" w:cs="Arial"/>
      <w:color w:val="F42133"/>
      <w:w w:val="70"/>
      <w:sz w:val="19"/>
      <w:szCs w:val="19"/>
    </w:rPr>
  </w:style>
  <w:style w:type="paragraph" w:customStyle="1" w:styleId="Tableofcontents0">
    <w:name w:val="Table of contents"/>
    <w:basedOn w:val="Normal"/>
    <w:link w:val="Tableofcontents"/>
    <w:pPr>
      <w:spacing w:line="259" w:lineRule="auto"/>
      <w:ind w:firstLine="380"/>
    </w:pPr>
    <w:rPr>
      <w:rFonts w:ascii="Times New Roman" w:eastAsia="Times New Roman" w:hAnsi="Times New Roman" w:cs="Times New Roman"/>
      <w:sz w:val="26"/>
      <w:szCs w:val="26"/>
    </w:rPr>
  </w:style>
  <w:style w:type="paragraph" w:customStyle="1" w:styleId="Heading21">
    <w:name w:val="Heading #2"/>
    <w:basedOn w:val="Normal"/>
    <w:link w:val="Heading20"/>
    <w:pPr>
      <w:jc w:val="center"/>
      <w:outlineLvl w:val="1"/>
    </w:pPr>
    <w:rPr>
      <w:rFonts w:ascii="Times New Roman" w:eastAsia="Times New Roman" w:hAnsi="Times New Roman" w:cs="Times New Roman"/>
      <w:b/>
      <w:bCs/>
      <w:sz w:val="30"/>
      <w:szCs w:val="30"/>
    </w:rPr>
  </w:style>
  <w:style w:type="paragraph" w:customStyle="1" w:styleId="Heading11">
    <w:name w:val="Heading #1"/>
    <w:basedOn w:val="Normal"/>
    <w:link w:val="Heading10"/>
    <w:pPr>
      <w:spacing w:line="228" w:lineRule="auto"/>
      <w:jc w:val="center"/>
      <w:outlineLvl w:val="0"/>
    </w:pPr>
    <w:rPr>
      <w:rFonts w:ascii="Arial" w:eastAsia="Arial" w:hAnsi="Arial" w:cs="Arial"/>
      <w:color w:val="490E14"/>
      <w:sz w:val="80"/>
      <w:szCs w:val="80"/>
    </w:rPr>
  </w:style>
  <w:style w:type="paragraph" w:customStyle="1" w:styleId="Tablecaption0">
    <w:name w:val="Table caption"/>
    <w:basedOn w:val="Normal"/>
    <w:link w:val="Tablecaption"/>
    <w:pPr>
      <w:ind w:firstLine="700"/>
    </w:pPr>
    <w:rPr>
      <w:rFonts w:ascii="Times New Roman" w:eastAsia="Times New Roman" w:hAnsi="Times New Roman" w:cs="Times New Roman"/>
      <w:sz w:val="26"/>
      <w:szCs w:val="2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paragraph" w:styleId="ListParagraph">
    <w:name w:val="List Paragraph"/>
    <w:basedOn w:val="Normal"/>
    <w:uiPriority w:val="34"/>
    <w:qFormat/>
    <w:rsid w:val="00FF0C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5WVdFF5e3WbdMvop9B/nDWdYpBQ==">CgMxLjA4AHIhMW1SS1NFelExZXlXZ1A4MGlyazJBN2wydzNnSXcwNWZm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693</Words>
  <Characters>3954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2024-04-24T03:37:00Z</dcterms:created>
  <dcterms:modified xsi:type="dcterms:W3CDTF">2024-04-24T03:37:00Z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a04088e7eec7fa8c94c4b41695435368fb7b42e379ce8b1d6fc8e0438b1b0e30</vt:lpwstr>
  </property>
</Properties>
</file>