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1285" w14:textId="2E7BB9DC" w:rsidR="001B07E4" w:rsidRPr="00C868CA" w:rsidRDefault="00EA337E" w:rsidP="00C66B9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3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868CA">
        <w:rPr>
          <w:rFonts w:ascii="Arial" w:hAnsi="Arial" w:cs="Arial"/>
          <w:b/>
          <w:color w:val="010000"/>
          <w:sz w:val="20"/>
        </w:rPr>
        <w:t>PRC</w:t>
      </w:r>
      <w:r w:rsidR="00FD6DD3" w:rsidRPr="00C868CA">
        <w:rPr>
          <w:rFonts w:ascii="Arial" w:hAnsi="Arial" w:cs="Arial"/>
          <w:b/>
          <w:color w:val="010000"/>
          <w:sz w:val="20"/>
        </w:rPr>
        <w:t>:</w:t>
      </w:r>
      <w:r w:rsidRPr="00C868C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5F6E1286" w14:textId="77777777" w:rsidR="001B07E4" w:rsidRPr="00C868CA" w:rsidRDefault="00EA337E" w:rsidP="00C66B9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On April 20, 2024, Portserco JSC announced Resolution No. 04-24/NQ-HDQT as follows:</w:t>
      </w:r>
    </w:p>
    <w:p w14:paraId="5F6E1287" w14:textId="77777777" w:rsidR="001B07E4" w:rsidRPr="00C868CA" w:rsidRDefault="00EA337E" w:rsidP="00C6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The Board of Directors has agreed to elect the following titles:</w:t>
      </w:r>
    </w:p>
    <w:p w14:paraId="5F6E1288" w14:textId="77777777" w:rsidR="001B07E4" w:rsidRPr="00C868CA" w:rsidRDefault="00EA337E" w:rsidP="00C6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3"/>
          <w:tab w:val="left" w:pos="4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Chair of the Board of Directors to: Mr. NGUYEN LE MINH</w:t>
      </w:r>
    </w:p>
    <w:p w14:paraId="5F6E1289" w14:textId="77777777" w:rsidR="001B07E4" w:rsidRPr="00C868CA" w:rsidRDefault="00EA337E" w:rsidP="00C6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Chief of the Audit Committee: M</w:t>
      </w:r>
      <w:bookmarkStart w:id="0" w:name="_GoBack"/>
      <w:bookmarkEnd w:id="0"/>
      <w:r w:rsidRPr="00C868CA">
        <w:rPr>
          <w:rFonts w:ascii="Arial" w:hAnsi="Arial" w:cs="Arial"/>
          <w:color w:val="010000"/>
          <w:sz w:val="20"/>
        </w:rPr>
        <w:t>r. TRAN QUANG TUAN</w:t>
      </w:r>
    </w:p>
    <w:p w14:paraId="5F6E128A" w14:textId="77777777" w:rsidR="001B07E4" w:rsidRPr="00C868CA" w:rsidRDefault="00EA337E" w:rsidP="00C6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2"/>
          <w:tab w:val="left" w:pos="4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Manager of Company Mr. LE NAM HUNG</w:t>
      </w:r>
    </w:p>
    <w:p w14:paraId="5F6E128B" w14:textId="77777777" w:rsidR="001B07E4" w:rsidRPr="00C868CA" w:rsidRDefault="00EA337E" w:rsidP="00C6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2"/>
          <w:tab w:val="left" w:pos="4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Chief Accountant Ms. NGUYEN THI TUYET</w:t>
      </w:r>
    </w:p>
    <w:p w14:paraId="5F6E128C" w14:textId="5E5D43EB" w:rsidR="001B07E4" w:rsidRPr="00C868CA" w:rsidRDefault="00EA337E" w:rsidP="00C6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Person in charge of corporate governance and Secretariat of the Company:</w:t>
      </w:r>
      <w:r w:rsidR="00C868CA" w:rsidRPr="00C868CA">
        <w:rPr>
          <w:rFonts w:ascii="Arial" w:hAnsi="Arial" w:cs="Arial"/>
          <w:color w:val="010000"/>
          <w:sz w:val="20"/>
        </w:rPr>
        <w:t xml:space="preserve"> </w:t>
      </w:r>
      <w:r w:rsidRPr="00C868CA">
        <w:rPr>
          <w:rFonts w:ascii="Arial" w:hAnsi="Arial" w:cs="Arial"/>
          <w:color w:val="010000"/>
          <w:sz w:val="20"/>
        </w:rPr>
        <w:t>Ms. DUONG THI MINH PHUONG</w:t>
      </w:r>
    </w:p>
    <w:p w14:paraId="5F6E128D" w14:textId="3B037745" w:rsidR="001B07E4" w:rsidRPr="00C868CA" w:rsidRDefault="00EA337E" w:rsidP="00C6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2"/>
          <w:tab w:val="left" w:pos="4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Person in charge of information disclosure</w:t>
      </w:r>
      <w:r w:rsidR="00C868CA" w:rsidRPr="00C868CA">
        <w:rPr>
          <w:rFonts w:ascii="Arial" w:hAnsi="Arial" w:cs="Arial"/>
          <w:color w:val="010000"/>
          <w:sz w:val="20"/>
        </w:rPr>
        <w:t>:</w:t>
      </w:r>
      <w:r w:rsidRPr="00C868CA">
        <w:rPr>
          <w:rFonts w:ascii="Arial" w:hAnsi="Arial" w:cs="Arial"/>
          <w:color w:val="010000"/>
          <w:sz w:val="20"/>
        </w:rPr>
        <w:t xml:space="preserve"> Mr. LE NAM HUNG</w:t>
      </w:r>
    </w:p>
    <w:p w14:paraId="5F6E128E" w14:textId="77777777" w:rsidR="001B07E4" w:rsidRPr="00C868CA" w:rsidRDefault="00EA337E" w:rsidP="00C6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>Assign the Board of Directors for the sixth term (2024-2029) to continue to implement related works in accordance with the Law and the Company's Charter to ensure the smooth operation of the Company.</w:t>
      </w:r>
    </w:p>
    <w:p w14:paraId="5F6E128F" w14:textId="1304614C" w:rsidR="001B07E4" w:rsidRPr="00C868CA" w:rsidRDefault="00EA337E" w:rsidP="00C66B9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68CA">
        <w:rPr>
          <w:rFonts w:ascii="Arial" w:hAnsi="Arial" w:cs="Arial"/>
          <w:color w:val="010000"/>
          <w:sz w:val="20"/>
        </w:rPr>
        <w:t xml:space="preserve">This </w:t>
      </w:r>
      <w:r w:rsidR="00C868CA" w:rsidRPr="00C868CA">
        <w:rPr>
          <w:rFonts w:ascii="Arial" w:hAnsi="Arial" w:cs="Arial"/>
          <w:color w:val="010000"/>
          <w:sz w:val="20"/>
        </w:rPr>
        <w:t>R</w:t>
      </w:r>
      <w:r w:rsidRPr="00C868CA">
        <w:rPr>
          <w:rFonts w:ascii="Arial" w:hAnsi="Arial" w:cs="Arial"/>
          <w:color w:val="010000"/>
          <w:sz w:val="20"/>
        </w:rPr>
        <w:t>esolution was approved by the Board of Directors at 03:00 p.m. on April 20, 2024. /.</w:t>
      </w:r>
    </w:p>
    <w:sectPr w:rsidR="001B07E4" w:rsidRPr="00C868CA" w:rsidSect="00EA337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F4A"/>
    <w:multiLevelType w:val="multilevel"/>
    <w:tmpl w:val="8A822CA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491F05"/>
    <w:multiLevelType w:val="multilevel"/>
    <w:tmpl w:val="7EB4346C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4"/>
    <w:rsid w:val="001B07E4"/>
    <w:rsid w:val="00C66B93"/>
    <w:rsid w:val="00C868CA"/>
    <w:rsid w:val="00EA337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E1285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214" w:lineRule="auto"/>
    </w:pPr>
    <w:rPr>
      <w:rFonts w:ascii="Arial" w:eastAsia="Arial" w:hAnsi="Arial" w:cs="Arial"/>
      <w:sz w:val="60"/>
      <w:szCs w:val="60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V9ZrDxACesAuod2F6aa4Keq2oA==">CgMxLjA4AHIhMUc3dkloRndLYmJNTFZpeHVfTzlGWVM1MlVKU2VjTFR5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2024-04-23T04:36:00Z</dcterms:created>
  <dcterms:modified xsi:type="dcterms:W3CDTF">2024-04-24T04:56:00Z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942c55b72c0b31277a62aeb4c68d9d908a27789eb3ef623303131da1dded67ee</vt:lpwstr>
  </property>
</Properties>
</file>