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02D0" w14:textId="28985C6B" w:rsidR="00315684" w:rsidRDefault="00BF020D" w:rsidP="0073561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TN1122016:</w:t>
      </w:r>
      <w:r>
        <w:rPr>
          <w:rFonts w:ascii="Arial" w:hAnsi="Arial"/>
          <w:b/>
          <w:color w:val="010000"/>
          <w:sz w:val="20"/>
        </w:rPr>
        <w:t xml:space="preserve"> Annual General Mandate</w:t>
      </w:r>
      <w:r w:rsidR="005F2C7B">
        <w:rPr>
          <w:rFonts w:ascii="Arial" w:hAnsi="Arial"/>
          <w:b/>
          <w:color w:val="010000"/>
          <w:sz w:val="20"/>
        </w:rPr>
        <w:t xml:space="preserve"> 2024</w:t>
      </w:r>
      <w:bookmarkStart w:id="0" w:name="_GoBack"/>
      <w:bookmarkEnd w:id="0"/>
    </w:p>
    <w:p w14:paraId="1054C493"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16, 2024, TNS Holdings Service Trading Joint Stock Company announced General Mandate No. 02/2024/NQ-DHDCD as follows: </w:t>
      </w:r>
    </w:p>
    <w:p w14:paraId="1F05FB2B" w14:textId="77777777" w:rsidR="00315684" w:rsidRDefault="00BF020D" w:rsidP="00735616">
      <w:pPr>
        <w:pBdr>
          <w:top w:val="nil"/>
          <w:left w:val="nil"/>
          <w:bottom w:val="nil"/>
          <w:right w:val="nil"/>
          <w:between w:val="nil"/>
        </w:pBdr>
        <w:spacing w:after="120" w:line="360" w:lineRule="auto"/>
        <w:jc w:val="both"/>
        <w:rPr>
          <w:rFonts w:ascii="Times New Roman" w:eastAsia="Times New Roman" w:hAnsi="Times New Roman" w:cs="Times New Roman"/>
          <w:sz w:val="22"/>
          <w:szCs w:val="22"/>
        </w:rPr>
      </w:pPr>
      <w:r>
        <w:rPr>
          <w:rFonts w:ascii="Arial" w:hAnsi="Arial"/>
          <w:color w:val="010000"/>
          <w:sz w:val="20"/>
        </w:rPr>
        <w:t>Article 1. Approve the Report on the activities of the Board of Directors in 2023 and the operational orientation for 2024</w:t>
      </w:r>
    </w:p>
    <w:p w14:paraId="43816A33"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activities of the Independent Board Member in the Audit Committee in 2023 and the orientation for 2024.</w:t>
      </w:r>
    </w:p>
    <w:p w14:paraId="56D40E9A"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Some consolidated financial expenditures achieved in 2023 are as follows:</w:t>
      </w:r>
    </w:p>
    <w:tbl>
      <w:tblPr>
        <w:tblStyle w:val="a"/>
        <w:tblW w:w="9017" w:type="dxa"/>
        <w:tblLayout w:type="fixed"/>
        <w:tblLook w:val="0400" w:firstRow="0" w:lastRow="0" w:firstColumn="0" w:lastColumn="0" w:noHBand="0" w:noVBand="1"/>
      </w:tblPr>
      <w:tblGrid>
        <w:gridCol w:w="2932"/>
        <w:gridCol w:w="1766"/>
        <w:gridCol w:w="1647"/>
        <w:gridCol w:w="1410"/>
        <w:gridCol w:w="1262"/>
      </w:tblGrid>
      <w:tr w:rsidR="00315684" w14:paraId="49B4BBFE" w14:textId="77777777">
        <w:tc>
          <w:tcPr>
            <w:tcW w:w="2932" w:type="dxa"/>
            <w:tcBorders>
              <w:top w:val="single" w:sz="4" w:space="0" w:color="000000"/>
              <w:left w:val="single" w:sz="4" w:space="0" w:color="000000"/>
            </w:tcBorders>
            <w:shd w:val="clear" w:color="auto" w:fill="auto"/>
            <w:tcMar>
              <w:top w:w="0" w:type="dxa"/>
              <w:bottom w:w="0" w:type="dxa"/>
            </w:tcMar>
            <w:vAlign w:val="center"/>
          </w:tcPr>
          <w:p w14:paraId="20410F40"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766" w:type="dxa"/>
            <w:tcBorders>
              <w:top w:val="single" w:sz="4" w:space="0" w:color="000000"/>
              <w:left w:val="single" w:sz="4" w:space="0" w:color="000000"/>
            </w:tcBorders>
            <w:shd w:val="clear" w:color="auto" w:fill="auto"/>
            <w:tcMar>
              <w:top w:w="0" w:type="dxa"/>
              <w:bottom w:w="0" w:type="dxa"/>
            </w:tcMar>
            <w:vAlign w:val="center"/>
          </w:tcPr>
          <w:p w14:paraId="7AF2D3E7"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1647" w:type="dxa"/>
            <w:tcBorders>
              <w:top w:val="single" w:sz="4" w:space="0" w:color="000000"/>
              <w:left w:val="single" w:sz="4" w:space="0" w:color="000000"/>
            </w:tcBorders>
            <w:shd w:val="clear" w:color="auto" w:fill="auto"/>
            <w:tcMar>
              <w:top w:w="0" w:type="dxa"/>
              <w:bottom w:w="0" w:type="dxa"/>
            </w:tcMar>
            <w:vAlign w:val="center"/>
          </w:tcPr>
          <w:p w14:paraId="50B833F6"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w:t>
            </w:r>
          </w:p>
        </w:tc>
        <w:tc>
          <w:tcPr>
            <w:tcW w:w="267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AE45B3"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Increase/Decrease</w:t>
            </w:r>
          </w:p>
        </w:tc>
      </w:tr>
      <w:tr w:rsidR="00315684" w14:paraId="400D2F10" w14:textId="77777777">
        <w:tc>
          <w:tcPr>
            <w:tcW w:w="2932" w:type="dxa"/>
            <w:tcBorders>
              <w:top w:val="single" w:sz="4" w:space="0" w:color="000000"/>
              <w:left w:val="single" w:sz="4" w:space="0" w:color="000000"/>
            </w:tcBorders>
            <w:shd w:val="clear" w:color="auto" w:fill="auto"/>
            <w:tcMar>
              <w:top w:w="0" w:type="dxa"/>
              <w:bottom w:w="0" w:type="dxa"/>
            </w:tcMar>
            <w:vAlign w:val="center"/>
          </w:tcPr>
          <w:p w14:paraId="359CE28E"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66" w:type="dxa"/>
            <w:tcBorders>
              <w:top w:val="single" w:sz="4" w:space="0" w:color="000000"/>
              <w:left w:val="single" w:sz="4" w:space="0" w:color="000000"/>
            </w:tcBorders>
            <w:shd w:val="clear" w:color="auto" w:fill="auto"/>
            <w:tcMar>
              <w:top w:w="0" w:type="dxa"/>
              <w:bottom w:w="0" w:type="dxa"/>
            </w:tcMar>
            <w:vAlign w:val="center"/>
          </w:tcPr>
          <w:p w14:paraId="5EAC2EE9"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647" w:type="dxa"/>
            <w:tcBorders>
              <w:top w:val="single" w:sz="4" w:space="0" w:color="000000"/>
              <w:left w:val="single" w:sz="4" w:space="0" w:color="000000"/>
            </w:tcBorders>
            <w:shd w:val="clear" w:color="auto" w:fill="auto"/>
            <w:tcMar>
              <w:top w:w="0" w:type="dxa"/>
              <w:bottom w:w="0" w:type="dxa"/>
            </w:tcMar>
            <w:vAlign w:val="center"/>
          </w:tcPr>
          <w:p w14:paraId="0E908BDF"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10" w:type="dxa"/>
            <w:tcBorders>
              <w:top w:val="single" w:sz="4" w:space="0" w:color="000000"/>
              <w:left w:val="single" w:sz="4" w:space="0" w:color="000000"/>
            </w:tcBorders>
            <w:shd w:val="clear" w:color="auto" w:fill="auto"/>
            <w:tcMar>
              <w:top w:w="0" w:type="dxa"/>
              <w:bottom w:w="0" w:type="dxa"/>
            </w:tcMar>
            <w:vAlign w:val="center"/>
          </w:tcPr>
          <w:p w14:paraId="5A529AB7"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2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063ADE"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315684" w14:paraId="4EE91184" w14:textId="77777777">
        <w:tc>
          <w:tcPr>
            <w:tcW w:w="2932" w:type="dxa"/>
            <w:tcBorders>
              <w:top w:val="single" w:sz="4" w:space="0" w:color="000000"/>
              <w:left w:val="single" w:sz="4" w:space="0" w:color="000000"/>
            </w:tcBorders>
            <w:shd w:val="clear" w:color="auto" w:fill="auto"/>
            <w:tcMar>
              <w:top w:w="0" w:type="dxa"/>
              <w:bottom w:w="0" w:type="dxa"/>
            </w:tcMar>
            <w:vAlign w:val="center"/>
          </w:tcPr>
          <w:p w14:paraId="54D35F8A"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766" w:type="dxa"/>
            <w:tcBorders>
              <w:top w:val="single" w:sz="4" w:space="0" w:color="000000"/>
              <w:left w:val="single" w:sz="4" w:space="0" w:color="000000"/>
            </w:tcBorders>
            <w:shd w:val="clear" w:color="auto" w:fill="auto"/>
            <w:tcMar>
              <w:top w:w="0" w:type="dxa"/>
              <w:bottom w:w="0" w:type="dxa"/>
            </w:tcMar>
            <w:vAlign w:val="center"/>
          </w:tcPr>
          <w:p w14:paraId="4C050C18"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978.88</w:t>
            </w:r>
          </w:p>
        </w:tc>
        <w:tc>
          <w:tcPr>
            <w:tcW w:w="1647" w:type="dxa"/>
            <w:tcBorders>
              <w:top w:val="single" w:sz="4" w:space="0" w:color="000000"/>
              <w:left w:val="single" w:sz="4" w:space="0" w:color="000000"/>
            </w:tcBorders>
            <w:shd w:val="clear" w:color="auto" w:fill="auto"/>
            <w:tcMar>
              <w:top w:w="0" w:type="dxa"/>
              <w:bottom w:w="0" w:type="dxa"/>
            </w:tcMar>
            <w:vAlign w:val="center"/>
          </w:tcPr>
          <w:p w14:paraId="78ADE230"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899.73</w:t>
            </w:r>
          </w:p>
        </w:tc>
        <w:tc>
          <w:tcPr>
            <w:tcW w:w="1410" w:type="dxa"/>
            <w:tcBorders>
              <w:top w:val="single" w:sz="4" w:space="0" w:color="000000"/>
              <w:left w:val="single" w:sz="4" w:space="0" w:color="000000"/>
            </w:tcBorders>
            <w:shd w:val="clear" w:color="auto" w:fill="auto"/>
            <w:tcMar>
              <w:top w:w="0" w:type="dxa"/>
              <w:bottom w:w="0" w:type="dxa"/>
            </w:tcMar>
            <w:vAlign w:val="center"/>
          </w:tcPr>
          <w:p w14:paraId="41CB33BD"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79.15</w:t>
            </w:r>
          </w:p>
        </w:tc>
        <w:tc>
          <w:tcPr>
            <w:tcW w:w="12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8CAD82"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w:t>
            </w:r>
          </w:p>
        </w:tc>
      </w:tr>
      <w:tr w:rsidR="00315684" w14:paraId="22F95D0F" w14:textId="77777777">
        <w:tc>
          <w:tcPr>
            <w:tcW w:w="2932" w:type="dxa"/>
            <w:tcBorders>
              <w:top w:val="single" w:sz="4" w:space="0" w:color="000000"/>
              <w:left w:val="single" w:sz="4" w:space="0" w:color="000000"/>
            </w:tcBorders>
            <w:shd w:val="clear" w:color="auto" w:fill="auto"/>
            <w:tcMar>
              <w:top w:w="0" w:type="dxa"/>
              <w:bottom w:w="0" w:type="dxa"/>
            </w:tcMar>
            <w:vAlign w:val="center"/>
          </w:tcPr>
          <w:p w14:paraId="5E51E51F"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Gross profit</w:t>
            </w:r>
          </w:p>
        </w:tc>
        <w:tc>
          <w:tcPr>
            <w:tcW w:w="1766" w:type="dxa"/>
            <w:tcBorders>
              <w:top w:val="single" w:sz="4" w:space="0" w:color="000000"/>
              <w:left w:val="single" w:sz="4" w:space="0" w:color="000000"/>
            </w:tcBorders>
            <w:shd w:val="clear" w:color="auto" w:fill="auto"/>
            <w:tcMar>
              <w:top w:w="0" w:type="dxa"/>
              <w:bottom w:w="0" w:type="dxa"/>
            </w:tcMar>
            <w:vAlign w:val="center"/>
          </w:tcPr>
          <w:p w14:paraId="06CFACE2"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253.92</w:t>
            </w:r>
          </w:p>
        </w:tc>
        <w:tc>
          <w:tcPr>
            <w:tcW w:w="1647" w:type="dxa"/>
            <w:tcBorders>
              <w:top w:val="single" w:sz="4" w:space="0" w:color="000000"/>
              <w:left w:val="single" w:sz="4" w:space="0" w:color="000000"/>
            </w:tcBorders>
            <w:shd w:val="clear" w:color="auto" w:fill="auto"/>
            <w:tcMar>
              <w:top w:w="0" w:type="dxa"/>
              <w:bottom w:w="0" w:type="dxa"/>
            </w:tcMar>
            <w:vAlign w:val="center"/>
          </w:tcPr>
          <w:p w14:paraId="68280CAD"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254.82</w:t>
            </w:r>
          </w:p>
        </w:tc>
        <w:tc>
          <w:tcPr>
            <w:tcW w:w="1410" w:type="dxa"/>
            <w:tcBorders>
              <w:top w:val="single" w:sz="4" w:space="0" w:color="000000"/>
              <w:left w:val="single" w:sz="4" w:space="0" w:color="000000"/>
            </w:tcBorders>
            <w:shd w:val="clear" w:color="auto" w:fill="auto"/>
            <w:tcMar>
              <w:top w:w="0" w:type="dxa"/>
              <w:bottom w:w="0" w:type="dxa"/>
            </w:tcMar>
            <w:vAlign w:val="center"/>
          </w:tcPr>
          <w:p w14:paraId="637B39FD"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(0.90)</w:t>
            </w:r>
          </w:p>
        </w:tc>
        <w:tc>
          <w:tcPr>
            <w:tcW w:w="126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C8365"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
        </w:tc>
      </w:tr>
      <w:tr w:rsidR="00315684" w14:paraId="5BCB403C" w14:textId="77777777">
        <w:tc>
          <w:tcPr>
            <w:tcW w:w="29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73D819"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61425"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51.84</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F99D9"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55.39</w:t>
            </w:r>
          </w:p>
        </w:tc>
        <w:tc>
          <w:tcPr>
            <w:tcW w:w="14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ADDB78"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(3.54)</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C968EE"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w:t>
            </w:r>
          </w:p>
        </w:tc>
      </w:tr>
    </w:tbl>
    <w:p w14:paraId="1F6C2C78"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Audited Financial Statement 2023.</w:t>
      </w:r>
    </w:p>
    <w:p w14:paraId="13F2B5F0"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profit distribution plan in 2023 and the dividend payment plan for 2024 </w:t>
      </w:r>
    </w:p>
    <w:p w14:paraId="613A7075" w14:textId="77777777" w:rsidR="00315684" w:rsidRDefault="00BF020D" w:rsidP="00735616">
      <w:pPr>
        <w:numPr>
          <w:ilvl w:val="0"/>
          <w:numId w:val="1"/>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Plan on profit distribution in 2023;</w:t>
      </w:r>
    </w:p>
    <w:p w14:paraId="19F92228"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Based on the Consolidated Financial Statements for 2023, the plan for profit distribution in 2023:</w:t>
      </w:r>
    </w:p>
    <w:p w14:paraId="05A0105B" w14:textId="77777777" w:rsidR="00315684" w:rsidRDefault="00BF020D" w:rsidP="00735616">
      <w:pPr>
        <w:numPr>
          <w:ilvl w:val="0"/>
          <w:numId w:val="2"/>
        </w:numPr>
        <w:pBdr>
          <w:top w:val="nil"/>
          <w:left w:val="nil"/>
          <w:bottom w:val="nil"/>
          <w:right w:val="nil"/>
          <w:between w:val="nil"/>
        </w:pBdr>
        <w:tabs>
          <w:tab w:val="left" w:pos="715"/>
          <w:tab w:val="right" w:pos="7826"/>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in 2023. VND 50,936,946,875</w:t>
      </w:r>
    </w:p>
    <w:p w14:paraId="68A032E5" w14:textId="77777777" w:rsidR="00315684" w:rsidRDefault="00BF020D" w:rsidP="00735616">
      <w:pPr>
        <w:numPr>
          <w:ilvl w:val="0"/>
          <w:numId w:val="2"/>
        </w:numPr>
        <w:pBdr>
          <w:top w:val="nil"/>
          <w:left w:val="nil"/>
          <w:bottom w:val="nil"/>
          <w:right w:val="nil"/>
          <w:between w:val="nil"/>
        </w:pBdr>
        <w:tabs>
          <w:tab w:val="left" w:pos="715"/>
          <w:tab w:val="right" w:pos="7826"/>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up to 2022 is: VND 89,021,016,728</w:t>
      </w:r>
    </w:p>
    <w:p w14:paraId="64CD721A" w14:textId="77777777" w:rsidR="00315684" w:rsidRDefault="00BF020D" w:rsidP="00735616">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Total distributable profit after tax is:  VND 139,957,963,603</w:t>
      </w:r>
    </w:p>
    <w:p w14:paraId="389F3367" w14:textId="77777777" w:rsidR="00315684" w:rsidRDefault="00BF020D" w:rsidP="00735616">
      <w:pPr>
        <w:numPr>
          <w:ilvl w:val="0"/>
          <w:numId w:val="2"/>
        </w:numPr>
        <w:pBdr>
          <w:top w:val="nil"/>
          <w:left w:val="nil"/>
          <w:bottom w:val="nil"/>
          <w:right w:val="nil"/>
          <w:between w:val="nil"/>
        </w:pBdr>
        <w:tabs>
          <w:tab w:val="left" w:pos="715"/>
          <w:tab w:val="right" w:pos="6667"/>
        </w:tabs>
        <w:spacing w:after="120" w:line="360" w:lineRule="auto"/>
        <w:jc w:val="both"/>
        <w:rPr>
          <w:rFonts w:ascii="Arial" w:eastAsia="Arial" w:hAnsi="Arial" w:cs="Arial"/>
          <w:color w:val="010000"/>
          <w:sz w:val="20"/>
          <w:szCs w:val="20"/>
        </w:rPr>
      </w:pPr>
      <w:r>
        <w:rPr>
          <w:rFonts w:ascii="Arial" w:hAnsi="Arial"/>
          <w:color w:val="010000"/>
          <w:sz w:val="20"/>
        </w:rPr>
        <w:t>Expected profit distribution:  VND 74,498,925,000. In which:</w:t>
      </w:r>
    </w:p>
    <w:p w14:paraId="4E83B5BB" w14:textId="5B23C005" w:rsidR="00315684" w:rsidRDefault="00735616" w:rsidP="0073561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used to pay dividend</w:t>
      </w:r>
      <w:r w:rsidR="00BF020D">
        <w:rPr>
          <w:rFonts w:ascii="Arial" w:hAnsi="Arial"/>
          <w:color w:val="010000"/>
          <w:sz w:val="20"/>
        </w:rPr>
        <w:t xml:space="preserve"> to shareholders:  VND 74,498,925,000</w:t>
      </w:r>
    </w:p>
    <w:p w14:paraId="2DDFB36E" w14:textId="77777777" w:rsidR="00315684" w:rsidRDefault="00BF020D" w:rsidP="0073561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to extract for investment and development fund: VND 0</w:t>
      </w:r>
    </w:p>
    <w:p w14:paraId="79F35D65" w14:textId="77777777" w:rsidR="00315684" w:rsidRDefault="00BF020D" w:rsidP="0073561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to extract for bonus and welfare fund: VND 0;</w:t>
      </w:r>
    </w:p>
    <w:p w14:paraId="0852F51D" w14:textId="77777777" w:rsidR="00315684" w:rsidRDefault="00BF020D" w:rsidP="00735616">
      <w:pPr>
        <w:numPr>
          <w:ilvl w:val="0"/>
          <w:numId w:val="1"/>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Dividend payment plan for 2023:</w:t>
      </w:r>
    </w:p>
    <w:p w14:paraId="7192121A" w14:textId="77777777" w:rsidR="00315684" w:rsidRDefault="00BF020D" w:rsidP="00735616">
      <w:pPr>
        <w:numPr>
          <w:ilvl w:val="0"/>
          <w:numId w:val="4"/>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Form of dividend payment in 2023: Paid in shares and cash</w:t>
      </w:r>
    </w:p>
    <w:p w14:paraId="0BCD74F9" w14:textId="77777777" w:rsidR="00315684" w:rsidRDefault="00BF020D" w:rsidP="00735616">
      <w:pPr>
        <w:numPr>
          <w:ilvl w:val="0"/>
          <w:numId w:val="4"/>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Payment rate: 15%, of which:</w:t>
      </w:r>
    </w:p>
    <w:p w14:paraId="640D1BF1" w14:textId="77777777" w:rsidR="00315684" w:rsidRDefault="00BF020D" w:rsidP="0073561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10% in shares (100:10) (Shareholders owning 100 shares receive 10 new shares).</w:t>
      </w:r>
    </w:p>
    <w:p w14:paraId="65F5E230" w14:textId="77777777" w:rsidR="00315684" w:rsidRDefault="00BF020D" w:rsidP="0073561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5% in cash (Shareholders receive VND 500 per share owned)</w:t>
      </w:r>
    </w:p>
    <w:p w14:paraId="24F32C06" w14:textId="77777777" w:rsidR="00315684" w:rsidRDefault="00BF020D" w:rsidP="00735616">
      <w:pPr>
        <w:numPr>
          <w:ilvl w:val="0"/>
          <w:numId w:val="4"/>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Source of capital for payment: The Company's undistributed profit after tax</w:t>
      </w:r>
    </w:p>
    <w:p w14:paraId="1FEC9AD4" w14:textId="77777777" w:rsidR="00315684" w:rsidRDefault="00BF020D" w:rsidP="00735616">
      <w:pPr>
        <w:numPr>
          <w:ilvl w:val="0"/>
          <w:numId w:val="4"/>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Plan for dividend payment in cash</w:t>
      </w:r>
    </w:p>
    <w:p w14:paraId="52FC76C7" w14:textId="48F367AA"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Assign the Board of Directors to decide on related contents to ensure the completion of cash dividend payment </w:t>
      </w:r>
      <w:r w:rsidR="00735616">
        <w:rPr>
          <w:rFonts w:ascii="Arial" w:hAnsi="Arial"/>
          <w:color w:val="010000"/>
          <w:sz w:val="20"/>
        </w:rPr>
        <w:t>under applicable laws</w:t>
      </w:r>
      <w:r>
        <w:rPr>
          <w:rFonts w:ascii="Arial" w:hAnsi="Arial"/>
          <w:color w:val="010000"/>
          <w:sz w:val="20"/>
        </w:rPr>
        <w:t xml:space="preserve"> and the Company's Charter.</w:t>
      </w:r>
    </w:p>
    <w:p w14:paraId="3A65A03D" w14:textId="089563A5" w:rsidR="00315684" w:rsidRDefault="00BF020D" w:rsidP="00735616">
      <w:pPr>
        <w:numPr>
          <w:ilvl w:val="0"/>
          <w:numId w:val="4"/>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Pr>
          <w:rFonts w:ascii="Arial" w:hAnsi="Arial"/>
          <w:color w:val="010000"/>
          <w:sz w:val="20"/>
        </w:rPr>
        <w:t>Plan for dividend payment in shares</w:t>
      </w:r>
    </w:p>
    <w:p w14:paraId="67C105DF"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Plan on handling fractional shares: Assign the Board of Directors to decide.</w:t>
      </w:r>
    </w:p>
    <w:p w14:paraId="730B2150"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Listing: The additional shares issued for dividend payment are listed immediately after completing the payment in accordance with the law.</w:t>
      </w:r>
    </w:p>
    <w:p w14:paraId="0D09EA15" w14:textId="77777777" w:rsidR="00315684" w:rsidRDefault="00BF020D" w:rsidP="00735616">
      <w:pPr>
        <w:numPr>
          <w:ilvl w:val="0"/>
          <w:numId w:val="4"/>
        </w:numPr>
        <w:pBdr>
          <w:top w:val="nil"/>
          <w:left w:val="nil"/>
          <w:bottom w:val="nil"/>
          <w:right w:val="nil"/>
          <w:between w:val="nil"/>
        </w:pBdr>
        <w:tabs>
          <w:tab w:val="left" w:pos="754"/>
        </w:tabs>
        <w:spacing w:after="120" w:line="360" w:lineRule="auto"/>
        <w:jc w:val="both"/>
        <w:rPr>
          <w:rFonts w:ascii="Arial" w:eastAsia="Arial" w:hAnsi="Arial" w:cs="Arial"/>
          <w:color w:val="010000"/>
          <w:sz w:val="20"/>
          <w:szCs w:val="20"/>
        </w:rPr>
      </w:pPr>
      <w:r>
        <w:rPr>
          <w:rFonts w:ascii="Arial" w:hAnsi="Arial"/>
          <w:color w:val="010000"/>
          <w:sz w:val="20"/>
        </w:rPr>
        <w:t xml:space="preserve">Assignment of implementation: </w:t>
      </w:r>
    </w:p>
    <w:p w14:paraId="5065F062" w14:textId="04AD4A32"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Assign the Board of Directors of the Company to consider and decide the time of dividend payment in shares and other detailed contents, organize the issuance of shares to pay dividends and all other work and procedures to complete the payment, registration, depository, and additional listing of shares on the Ho Chi Minh City Stock Exchange, increase the Company's charter capital corresponding to the number of shares issued on the basis of full compliance with </w:t>
      </w:r>
      <w:r w:rsidR="00735616">
        <w:rPr>
          <w:rFonts w:ascii="Arial" w:hAnsi="Arial"/>
          <w:color w:val="010000"/>
          <w:sz w:val="20"/>
        </w:rPr>
        <w:t>applicable laws</w:t>
      </w:r>
      <w:r>
        <w:rPr>
          <w:rFonts w:ascii="Arial" w:hAnsi="Arial"/>
          <w:color w:val="010000"/>
          <w:sz w:val="20"/>
        </w:rPr>
        <w:t xml:space="preserve"> and the Company's Charter.</w:t>
      </w:r>
    </w:p>
    <w:p w14:paraId="71C3C7C0" w14:textId="4D737700"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Authorize the </w:t>
      </w:r>
      <w:r w:rsidR="00735616">
        <w:rPr>
          <w:rFonts w:ascii="Arial" w:hAnsi="Arial"/>
          <w:color w:val="010000"/>
          <w:sz w:val="20"/>
        </w:rPr>
        <w:t>Managing Director</w:t>
      </w:r>
      <w:r>
        <w:rPr>
          <w:rFonts w:ascii="Arial" w:hAnsi="Arial"/>
          <w:color w:val="010000"/>
          <w:sz w:val="20"/>
        </w:rPr>
        <w:t xml:space="preserve"> of the Company to sign and issue the Appendix to the Company's Charter to record the new charter capital of the Company corresponding to the results of share issuance to pay dividends.</w:t>
      </w:r>
    </w:p>
    <w:p w14:paraId="7ED2FD05" w14:textId="77777777" w:rsidR="00315684" w:rsidRDefault="00BF020D" w:rsidP="00735616">
      <w:pPr>
        <w:keepNext/>
        <w:numPr>
          <w:ilvl w:val="0"/>
          <w:numId w:val="1"/>
        </w:numPr>
        <w:pBdr>
          <w:top w:val="nil"/>
          <w:left w:val="nil"/>
          <w:bottom w:val="nil"/>
          <w:right w:val="nil"/>
          <w:between w:val="nil"/>
        </w:pBdr>
        <w:tabs>
          <w:tab w:val="left" w:pos="754"/>
        </w:tabs>
        <w:spacing w:after="120" w:line="360" w:lineRule="auto"/>
        <w:jc w:val="both"/>
        <w:rPr>
          <w:rFonts w:ascii="Arial" w:eastAsia="Arial" w:hAnsi="Arial" w:cs="Arial"/>
          <w:color w:val="010000"/>
          <w:sz w:val="20"/>
          <w:szCs w:val="20"/>
        </w:rPr>
      </w:pPr>
      <w:r>
        <w:rPr>
          <w:rFonts w:ascii="Arial" w:hAnsi="Arial"/>
          <w:color w:val="010000"/>
          <w:sz w:val="20"/>
        </w:rPr>
        <w:t>Dividend payment plan in 2024</w:t>
      </w:r>
    </w:p>
    <w:p w14:paraId="7F4194C9"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dividend payout rate for shareholders: 15%</w:t>
      </w:r>
    </w:p>
    <w:p w14:paraId="11F5D97C" w14:textId="07042613"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assigns the Board of Directors of the Company to calculate appropriate plans and timing according to the Company's business results and capital needs in accordance with the law.</w:t>
      </w:r>
    </w:p>
    <w:p w14:paraId="1FA52445"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remuneration of members of the Board of Directors and Audit Committee in 2023; Plan for remuneration of members of the Board of Directors and Audit Committee in 2024.</w:t>
      </w:r>
    </w:p>
    <w:p w14:paraId="1D6D23B7"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business plan for 2024</w:t>
      </w:r>
    </w:p>
    <w:p w14:paraId="7EFFE33E"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Business Plan for 2024, specifically:</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4478"/>
      </w:tblGrid>
      <w:tr w:rsidR="00315684" w14:paraId="75F3F761" w14:textId="77777777">
        <w:tc>
          <w:tcPr>
            <w:tcW w:w="4539" w:type="dxa"/>
            <w:shd w:val="clear" w:color="auto" w:fill="auto"/>
            <w:tcMar>
              <w:top w:w="0" w:type="dxa"/>
              <w:bottom w:w="0" w:type="dxa"/>
            </w:tcMar>
            <w:vAlign w:val="center"/>
          </w:tcPr>
          <w:p w14:paraId="39BDB178"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4478" w:type="dxa"/>
            <w:shd w:val="clear" w:color="auto" w:fill="auto"/>
            <w:tcMar>
              <w:top w:w="0" w:type="dxa"/>
              <w:bottom w:w="0" w:type="dxa"/>
            </w:tcMar>
            <w:vAlign w:val="center"/>
          </w:tcPr>
          <w:p w14:paraId="3D4E0A75"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2024 Plan (billion VND)</w:t>
            </w:r>
          </w:p>
        </w:tc>
      </w:tr>
      <w:tr w:rsidR="00315684" w14:paraId="414EBE1C" w14:textId="77777777">
        <w:tc>
          <w:tcPr>
            <w:tcW w:w="4539" w:type="dxa"/>
            <w:shd w:val="clear" w:color="auto" w:fill="auto"/>
            <w:tcMar>
              <w:top w:w="0" w:type="dxa"/>
              <w:bottom w:w="0" w:type="dxa"/>
            </w:tcMar>
            <w:vAlign w:val="center"/>
          </w:tcPr>
          <w:p w14:paraId="2B662C04"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4478" w:type="dxa"/>
            <w:shd w:val="clear" w:color="auto" w:fill="auto"/>
            <w:tcMar>
              <w:top w:w="0" w:type="dxa"/>
              <w:bottom w:w="0" w:type="dxa"/>
            </w:tcMar>
            <w:vAlign w:val="center"/>
          </w:tcPr>
          <w:p w14:paraId="09B35EF6"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960</w:t>
            </w:r>
          </w:p>
        </w:tc>
      </w:tr>
      <w:tr w:rsidR="00315684" w14:paraId="2F81F17D" w14:textId="77777777">
        <w:tc>
          <w:tcPr>
            <w:tcW w:w="4539" w:type="dxa"/>
            <w:shd w:val="clear" w:color="auto" w:fill="auto"/>
            <w:tcMar>
              <w:top w:w="0" w:type="dxa"/>
              <w:bottom w:w="0" w:type="dxa"/>
            </w:tcMar>
            <w:vAlign w:val="center"/>
          </w:tcPr>
          <w:p w14:paraId="04E0219A"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4478" w:type="dxa"/>
            <w:shd w:val="clear" w:color="auto" w:fill="auto"/>
            <w:tcMar>
              <w:top w:w="0" w:type="dxa"/>
              <w:bottom w:w="0" w:type="dxa"/>
            </w:tcMar>
            <w:vAlign w:val="center"/>
          </w:tcPr>
          <w:p w14:paraId="2575B3DD"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w:t>
            </w:r>
          </w:p>
        </w:tc>
      </w:tr>
    </w:tbl>
    <w:p w14:paraId="271A17D6"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Plan on selection of audit company for the Financial Statements 2024</w:t>
      </w:r>
    </w:p>
    <w:p w14:paraId="2F1134E6"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amendment to the Company’s Charter.</w:t>
      </w:r>
    </w:p>
    <w:p w14:paraId="42273252" w14:textId="375C31B8"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9. The General Meeting assigns the Board of Directo</w:t>
      </w:r>
      <w:r w:rsidR="00735616">
        <w:rPr>
          <w:rFonts w:ascii="Arial" w:hAnsi="Arial"/>
          <w:color w:val="010000"/>
          <w:sz w:val="20"/>
        </w:rPr>
        <w:t>rs, Audit Committee and Managing Director</w:t>
      </w:r>
      <w:r>
        <w:rPr>
          <w:rFonts w:ascii="Arial" w:hAnsi="Arial"/>
          <w:color w:val="010000"/>
          <w:sz w:val="20"/>
        </w:rPr>
        <w:t xml:space="preserve"> of the Company to be responsible for directing and organizing the implementation of the General Mandate </w:t>
      </w:r>
      <w:r w:rsidR="00735616">
        <w:rPr>
          <w:rFonts w:ascii="Arial" w:hAnsi="Arial"/>
          <w:color w:val="010000"/>
          <w:sz w:val="20"/>
        </w:rPr>
        <w:t>under applicable laws</w:t>
      </w:r>
      <w:r>
        <w:rPr>
          <w:rFonts w:ascii="Arial" w:hAnsi="Arial"/>
          <w:color w:val="010000"/>
          <w:sz w:val="20"/>
        </w:rPr>
        <w:t xml:space="preserve"> and the Company's Charter.</w:t>
      </w:r>
    </w:p>
    <w:p w14:paraId="74C25AAA" w14:textId="77777777" w:rsidR="00315684" w:rsidRDefault="00BF020D" w:rsidP="0073561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This General Mandate takes effect from the date of its signing.</w:t>
      </w:r>
    </w:p>
    <w:p w14:paraId="5F1D14A8" w14:textId="77777777" w:rsidR="00315684" w:rsidRDefault="00BF020D">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lastRenderedPageBreak/>
        <w:t>The Board of Directors, the Audit Committee, the General Manager, the Departments, Divisions, Units and related individuals in the Company are responsible for implementing this General Mandate.</w:t>
      </w:r>
    </w:p>
    <w:sectPr w:rsidR="0031568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CD6"/>
    <w:multiLevelType w:val="multilevel"/>
    <w:tmpl w:val="B8E49AB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FD6A89"/>
    <w:multiLevelType w:val="multilevel"/>
    <w:tmpl w:val="97DA05AC"/>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615F83"/>
    <w:multiLevelType w:val="multilevel"/>
    <w:tmpl w:val="BAE8EB5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AE807DB"/>
    <w:multiLevelType w:val="multilevel"/>
    <w:tmpl w:val="04E8B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A65F6D"/>
    <w:multiLevelType w:val="multilevel"/>
    <w:tmpl w:val="5E5C6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84"/>
    <w:rsid w:val="00315684"/>
    <w:rsid w:val="005F2C7B"/>
    <w:rsid w:val="00735616"/>
    <w:rsid w:val="00BF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0B07"/>
  <w15:docId w15:val="{5CB45FB3-33A3-426D-A16D-85368B9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D14974"/>
      <w:w w:val="70"/>
      <w:sz w:val="20"/>
      <w:szCs w:val="20"/>
      <w:u w:val="none"/>
      <w:shd w:val="clear" w:color="auto" w:fill="auto"/>
    </w:rPr>
  </w:style>
  <w:style w:type="character" w:customStyle="1" w:styleId="Vnbnnidung3">
    <w:name w:val="Văn bản nội dung (3)_"/>
    <w:basedOn w:val="DefaultParagraphFont"/>
    <w:link w:val="Vnbnnidung30"/>
    <w:rPr>
      <w:rFonts w:ascii="Trebuchet MS" w:eastAsia="Trebuchet MS" w:hAnsi="Trebuchet MS" w:cs="Trebuchet MS"/>
      <w:b w:val="0"/>
      <w:bCs w:val="0"/>
      <w:i/>
      <w:iCs/>
      <w:smallCaps w:val="0"/>
      <w:strike w:val="0"/>
      <w:color w:val="D14974"/>
      <w:w w:val="100"/>
      <w:sz w:val="22"/>
      <w:szCs w:val="22"/>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color w:val="D14974"/>
      <w:sz w:val="18"/>
      <w:szCs w:val="1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14974"/>
      <w:sz w:val="18"/>
      <w:szCs w:val="18"/>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944871"/>
      <w:w w:val="80"/>
      <w:sz w:val="26"/>
      <w:szCs w:val="26"/>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Tiu30">
    <w:name w:val="Tiêu đề #3"/>
    <w:basedOn w:val="Normal"/>
    <w:link w:val="Tiu3"/>
    <w:pPr>
      <w:spacing w:line="295" w:lineRule="auto"/>
      <w:jc w:val="center"/>
      <w:outlineLvl w:val="2"/>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rPr>
      <w:rFonts w:ascii="Arial" w:eastAsia="Arial" w:hAnsi="Arial" w:cs="Arial"/>
      <w:i/>
      <w:iCs/>
      <w:color w:val="D14974"/>
      <w:w w:val="70"/>
      <w:sz w:val="20"/>
      <w:szCs w:val="20"/>
    </w:rPr>
  </w:style>
  <w:style w:type="paragraph" w:customStyle="1" w:styleId="Vnbnnidung30">
    <w:name w:val="Văn bản nội dung (3)"/>
    <w:basedOn w:val="Normal"/>
    <w:link w:val="Vnbnnidung3"/>
    <w:pPr>
      <w:spacing w:line="266" w:lineRule="auto"/>
      <w:ind w:left="7900" w:firstLine="40"/>
    </w:pPr>
    <w:rPr>
      <w:rFonts w:ascii="Trebuchet MS" w:eastAsia="Trebuchet MS" w:hAnsi="Trebuchet MS" w:cs="Trebuchet MS"/>
      <w:i/>
      <w:iCs/>
      <w:color w:val="D14974"/>
      <w:sz w:val="22"/>
      <w:szCs w:val="22"/>
    </w:rPr>
  </w:style>
  <w:style w:type="paragraph" w:customStyle="1" w:styleId="Vnbnnidung20">
    <w:name w:val="Văn bản nội dung (2)"/>
    <w:basedOn w:val="Normal"/>
    <w:link w:val="Vnbnnidung2"/>
    <w:rPr>
      <w:rFonts w:ascii="Tahoma" w:eastAsia="Tahoma" w:hAnsi="Tahoma" w:cs="Tahoma"/>
      <w:color w:val="D14974"/>
      <w:sz w:val="18"/>
      <w:szCs w:val="18"/>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178" w:lineRule="auto"/>
    </w:pPr>
    <w:rPr>
      <w:rFonts w:ascii="Arial" w:eastAsia="Arial" w:hAnsi="Arial" w:cs="Arial"/>
      <w:color w:val="D14974"/>
      <w:sz w:val="18"/>
      <w:szCs w:val="18"/>
    </w:rPr>
  </w:style>
  <w:style w:type="paragraph" w:customStyle="1" w:styleId="Tiu10">
    <w:name w:val="Tiêu đề #1"/>
    <w:basedOn w:val="Normal"/>
    <w:link w:val="Tiu1"/>
    <w:pPr>
      <w:jc w:val="center"/>
      <w:outlineLvl w:val="0"/>
    </w:pPr>
    <w:rPr>
      <w:rFonts w:ascii="Cambria" w:eastAsia="Cambria" w:hAnsi="Cambria" w:cs="Cambria"/>
      <w:b/>
      <w:bCs/>
      <w:sz w:val="30"/>
      <w:szCs w:val="30"/>
    </w:rPr>
  </w:style>
  <w:style w:type="paragraph" w:customStyle="1" w:styleId="Tiu20">
    <w:name w:val="Tiêu đề #2"/>
    <w:basedOn w:val="Normal"/>
    <w:link w:val="Tiu2"/>
    <w:pPr>
      <w:spacing w:line="216" w:lineRule="auto"/>
      <w:jc w:val="center"/>
      <w:outlineLvl w:val="1"/>
    </w:pPr>
    <w:rPr>
      <w:rFonts w:ascii="Times New Roman" w:eastAsia="Times New Roman" w:hAnsi="Times New Roman" w:cs="Times New Roman"/>
      <w:color w:val="944871"/>
      <w:w w:val="8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XEGubRNH3e767zDl6myShZWmg==">CgMxLjAyCGguZ2pkZ3hzOAByITFOZjhJZ3VTamp6cG1xUHRyS3IyT1ljQlB5Wm9fT3dUdA==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2024-04-24T10:58:00Z</dcterms:created>
  <dcterms:modified xsi:type="dcterms:W3CDTF">2024-04-24T10:58:00Z</dcterms:modified>
</cp:coreProperties>
</file>